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ackground w:color="FFFFFF"/>
  <w:body>
    <w:p>
      <w:pPr>
        <w:pStyle w:val="Normal1"/>
        <w:spacing w:before="0" w:after="0"/>
        <w:jc w:val="center"/>
        <w:rPr/>
      </w:pPr>
      <w:bookmarkStart w:id="0" w:name="__DdeLink__677_412511239"/>
      <w:bookmarkEnd w:id="0"/>
      <w:r>
        <w:rPr/>
        <w:t xml:space="preserve">Chemotherapy Pharmacy Technician </w:t>
      </w:r>
    </w:p>
    <w:p>
      <w:pPr>
        <w:pStyle w:val="Normal1"/>
        <w:spacing w:before="0" w:after="0"/>
        <w:jc w:val="center"/>
        <w:rPr>
          <w:rFonts w:eastAsia="Arial" w:cs="Arial" w:ascii="Arial" w:hAnsi="Arial"/>
          <w:b/>
          <w:sz w:val="48"/>
        </w:rPr>
      </w:pPr>
      <w:r>
        <w:rPr>
          <w:rFonts w:eastAsia="Arial" w:cs="Arial" w:ascii="Arial" w:hAnsi="Arial"/>
          <w:b/>
          <w:sz w:val="48"/>
        </w:rPr>
        <w:t>Brandon Dyson, PharmD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jc w:val="center"/>
        <w:rPr>
          <w:rFonts w:eastAsia="Arial" w:cs="Arial" w:ascii="Arial" w:hAnsi="Arial"/>
        </w:rPr>
      </w:pPr>
      <w:r>
        <w:rPr>
          <w:rFonts w:eastAsia="Arial" w:cs="Arial" w:ascii="Arial" w:hAnsi="Arial"/>
        </w:rPr>
        <w:t>1850 Columbia Pike # 333</w:t>
      </w:r>
    </w:p>
    <w:p>
      <w:pPr>
        <w:pStyle w:val="Normal1"/>
        <w:spacing w:before="0" w:after="0"/>
        <w:jc w:val="center"/>
        <w:rPr>
          <w:rFonts w:eastAsia="Arial" w:cs="Arial" w:ascii="Arial" w:hAnsi="Arial"/>
        </w:rPr>
      </w:pPr>
      <w:r>
        <w:rPr>
          <w:rFonts w:eastAsia="Arial" w:cs="Arial" w:ascii="Arial" w:hAnsi="Arial"/>
        </w:rPr>
        <w:t>Arlington, Virginia 22204</w:t>
      </w:r>
    </w:p>
    <w:p>
      <w:pPr>
        <w:pStyle w:val="Normal1"/>
        <w:spacing w:before="0" w:after="0"/>
        <w:jc w:val="center"/>
        <w:rPr>
          <w:rFonts w:eastAsia="Arial" w:cs="Arial" w:ascii="Arial" w:hAnsi="Arial"/>
        </w:rPr>
      </w:pPr>
      <w:r>
        <w:rPr>
          <w:rFonts w:eastAsia="Arial" w:cs="Arial" w:ascii="Arial" w:hAnsi="Arial"/>
        </w:rPr>
        <w:t>Phone:</w:t>
      </w:r>
      <w:r>
        <w:rPr>
          <w:rFonts w:eastAsia="Arial" w:cs="Arial" w:ascii="Arial" w:hAnsi="Arial"/>
          <w:b/>
        </w:rPr>
        <w:t xml:space="preserve"> </w:t>
      </w:r>
      <w:r>
        <w:rPr>
          <w:rFonts w:eastAsia="Arial" w:cs="Arial" w:ascii="Arial" w:hAnsi="Arial"/>
        </w:rPr>
        <w:t>301-466-6638</w:t>
      </w:r>
    </w:p>
    <w:p>
      <w:pPr>
        <w:pStyle w:val="Normal1"/>
        <w:spacing w:before="0" w:after="0"/>
        <w:jc w:val="center"/>
        <w:rPr>
          <w:rFonts w:eastAsia="Arial" w:cs="Arial" w:ascii="Arial" w:hAnsi="Arial"/>
        </w:rPr>
      </w:pPr>
      <w:r>
        <w:rPr>
          <w:rFonts w:eastAsia="Arial" w:cs="Arial" w:ascii="Arial" w:hAnsi="Arial"/>
        </w:rPr>
        <w:t>Email: bmdyson@gmail.com</w:t>
      </w:r>
    </w:p>
    <w:p>
      <w:pPr>
        <w:pStyle w:val="Normal1"/>
        <w:spacing w:before="0" w:after="0"/>
        <w:rPr>
          <w:rFonts w:eastAsia="Arial" w:cs="Arial" w:ascii="Arial" w:hAnsi="Arial"/>
          <w:b/>
          <w:sz w:val="36"/>
        </w:rPr>
      </w:pPr>
      <w:r>
        <w:rPr>
          <w:rFonts w:eastAsia="Arial" w:cs="Arial" w:ascii="Arial" w:hAnsi="Arial"/>
          <w:b/>
          <w:sz w:val="36"/>
        </w:rPr>
        <w:t>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 w:val="26"/>
        </w:rPr>
        <w:t>Education / Professional Training</w:t>
      </w:r>
      <w:r>
        <w:rPr/>
        <w:br/>
      </w: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MedStar Georgetown University Hospital, Washington DC                                  July 2013 – June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Post Graduate Year One, Pharmacy Residency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Howard University School of Pharmacy, Washington DC</w:t>
        <w:tab/>
        <w:tab/>
        <w:tab/>
        <w:tab/>
        <w:t xml:space="preserve">                 May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Doctor of Pharmacy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University of Maryland at College Park, College Park, MD</w:t>
        <w:tab/>
        <w:tab/>
        <w:tab/>
        <w:tab/>
        <w:t xml:space="preserve">     </w:t>
        <w:tab/>
        <w:t xml:space="preserve">     May 2004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Bachelor of Science: Biological Sciences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Professional Licensure / Certifications / Training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District of Columbia Board of Pharmacy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Pharmacist; License Number: PH100001504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Expires: 2/28/2017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Texas Board of Pharmacy</w:t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Pharmacist; License Number: 56290</w:t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Expires: 10/31/2016</w:t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American Pharmacists Association</w:t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Pharmacy-Based Immunization Delivery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Advanced Cardiac Life Support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Expires: July 2015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Basic Life Support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Expires: July 2015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Technology and Software: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ab/>
        <w:t>Cerner Millennium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ab/>
        <w:t>Pyxis MedStation 3500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ab/>
        <w:t>Aria Systems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 xml:space="preserve">Professional Experience  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MedStar Georgetown University Hospital</w:t>
        <w:tab/>
        <w:tab/>
        <w:tab/>
        <w:t xml:space="preserve">                                   </w:t>
      </w:r>
      <w:r>
        <w:rPr>
          <w:rFonts w:eastAsia="Arial" w:cs="Arial" w:ascii="Arial" w:hAnsi="Arial"/>
          <w:sz w:val="22"/>
        </w:rPr>
        <w:t>June 2014 – Present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Chemotherapy Pharmacy Technician </w:t>
      </w:r>
      <w:r>
        <w:rPr>
          <w:rFonts w:eastAsia="Arial" w:cs="Arial" w:ascii="Arial" w:hAnsi="Arial"/>
          <w:sz w:val="22"/>
        </w:rPr>
        <w:t>Pharmacist</w:t>
      </w:r>
    </w:p>
    <w:p>
      <w:pPr>
        <w:pStyle w:val="Normal1"/>
        <w:numPr>
          <w:ilvl w:val="0"/>
          <w:numId w:val="2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Serve in outpatient chemotherapy infusion center providing medication counseling to patients and families</w:t>
      </w:r>
    </w:p>
    <w:p>
      <w:pPr>
        <w:pStyle w:val="Normal1"/>
        <w:numPr>
          <w:ilvl w:val="0"/>
          <w:numId w:val="2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Accurately perform chemotherapy order entry, verification, preparation, and dispensing in a timely manner for both inpatients and outpatients</w:t>
      </w:r>
    </w:p>
    <w:p>
      <w:pPr>
        <w:pStyle w:val="Normal1"/>
        <w:numPr>
          <w:ilvl w:val="0"/>
          <w:numId w:val="2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Work with drug informatics team to create chemotherapy drug information sheets and order sets </w:t>
      </w:r>
    </w:p>
    <w:p>
      <w:pPr>
        <w:pStyle w:val="Normal1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MedStar Georgetown University Hospital</w:t>
        <w:tab/>
        <w:tab/>
        <w:tab/>
        <w:t xml:space="preserve">                                </w:t>
      </w:r>
      <w:r>
        <w:rPr>
          <w:rFonts w:eastAsia="Arial" w:cs="Arial" w:ascii="Arial" w:hAnsi="Arial"/>
          <w:sz w:val="22"/>
        </w:rPr>
        <w:t>July 2013 – June 2014</w:t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PGY1 Resident Pharmacist</w:t>
      </w:r>
    </w:p>
    <w:p>
      <w:pPr>
        <w:pStyle w:val="Normal1"/>
        <w:numPr>
          <w:ilvl w:val="0"/>
          <w:numId w:val="10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Performed order entry and verification both pre and post-CPOE implementation in various decentralized hospital units</w:t>
      </w:r>
    </w:p>
    <w:p>
      <w:pPr>
        <w:pStyle w:val="Normal1"/>
        <w:numPr>
          <w:ilvl w:val="0"/>
          <w:numId w:val="10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Completed patient medication reconciliation, provided drug information, performed order clarification and drug dispensing</w:t>
      </w:r>
    </w:p>
    <w:p>
      <w:pPr>
        <w:pStyle w:val="Normal1"/>
        <w:numPr>
          <w:ilvl w:val="0"/>
          <w:numId w:val="10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Communicated with nurses, physicians, pharmacists, and patients to ensure continuity of care</w:t>
      </w:r>
    </w:p>
    <w:p>
      <w:pPr>
        <w:pStyle w:val="Normal1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Walgreens Pharmacy (Store # 11338) – Arlington, VA</w:t>
      </w:r>
      <w:r>
        <w:rPr>
          <w:rFonts w:eastAsia="Arial" w:cs="Arial" w:ascii="Arial" w:hAnsi="Arial"/>
          <w:sz w:val="22"/>
        </w:rPr>
        <w:tab/>
        <w:tab/>
        <w:tab/>
        <w:t xml:space="preserve">     August 2009 – May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Pharmacy Intern 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Supervisor: Charlie Johns, PharmD – District Pharmacy Supervisor</w:t>
      </w:r>
    </w:p>
    <w:p>
      <w:pPr>
        <w:pStyle w:val="Normal1"/>
        <w:numPr>
          <w:ilvl w:val="0"/>
          <w:numId w:val="1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Assisted the pharmacist in various duties; including patient consultation, MTM, blood pressure/cholesterol screenings, and vaccinations</w:t>
      </w:r>
    </w:p>
    <w:p>
      <w:pPr>
        <w:pStyle w:val="Normal1"/>
        <w:numPr>
          <w:ilvl w:val="0"/>
          <w:numId w:val="1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Perform standard functions of a pharmacy technician; including inventory management and all phases of the prescription filling process</w:t>
      </w:r>
    </w:p>
    <w:p>
      <w:pPr>
        <w:pStyle w:val="Normal1"/>
        <w:numPr>
          <w:ilvl w:val="0"/>
          <w:numId w:val="1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Participate in charitable district initiatives, such as the AARP / Walgreens Wellness Tour and fundraising walks for the Juvenile Diabetes Research Foundation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Teaching Experience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Georgetown University School of Nursing and Health Sciences</w:t>
      </w:r>
      <w:r>
        <w:rPr>
          <w:rFonts w:eastAsia="Arial" w:cs="Arial" w:ascii="Arial" w:hAnsi="Arial"/>
          <w:sz w:val="22"/>
        </w:rPr>
        <w:t xml:space="preserve">             September 2014 - Present</w:t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Adjunct Assistant Professor</w:t>
      </w:r>
    </w:p>
    <w:p>
      <w:pPr>
        <w:pStyle w:val="Normal1"/>
        <w:numPr>
          <w:ilvl w:val="0"/>
          <w:numId w:val="25"/>
        </w:numPr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Facilitate weekly online lectures and discussion in the class “Advanced Concepts in Pharmacology” for graduate level nursing students</w:t>
      </w:r>
    </w:p>
    <w:p>
      <w:pPr>
        <w:pStyle w:val="Normal1"/>
        <w:numPr>
          <w:ilvl w:val="0"/>
          <w:numId w:val="25"/>
        </w:numPr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Respond to all student inquiries within 24 hours</w:t>
      </w:r>
    </w:p>
    <w:p>
      <w:pPr>
        <w:pStyle w:val="Normal1"/>
        <w:numPr>
          <w:ilvl w:val="0"/>
          <w:numId w:val="25"/>
        </w:numPr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Proctor online examinations and student presentations</w:t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 xml:space="preserve">Howard University College of Pharmacy                                                              </w:t>
      </w:r>
      <w:r>
        <w:rPr>
          <w:rFonts w:eastAsia="Arial" w:cs="Arial" w:ascii="Arial" w:hAnsi="Arial"/>
          <w:sz w:val="22"/>
        </w:rPr>
        <w:t>June 2013 - Present</w:t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Adjunct Instructor</w:t>
      </w:r>
    </w:p>
    <w:p>
      <w:pPr>
        <w:pStyle w:val="Normal1"/>
        <w:numPr>
          <w:ilvl w:val="0"/>
          <w:numId w:val="14"/>
        </w:numPr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Created and instructed the “Pharmacotherapy Preview Program,” a two month-long series of online lectures via Tegrity Lecture Capture</w:t>
      </w:r>
      <w:r>
        <w:rPr>
          <w:rFonts w:eastAsia="Arial" w:cs="Arial" w:ascii="Arial" w:hAnsi="Arial"/>
          <w:sz w:val="22"/>
          <w:vertAlign w:val="superscript"/>
        </w:rPr>
        <w:t>®</w:t>
      </w:r>
      <w:r>
        <w:rPr>
          <w:rFonts w:eastAsia="Arial" w:cs="Arial" w:ascii="Arial" w:hAnsi="Arial"/>
          <w:sz w:val="22"/>
        </w:rPr>
        <w:t xml:space="preserve"> software aimed at providing rising second year pharmacy students with a foundation in pharmacology and therapeutics</w:t>
      </w:r>
    </w:p>
    <w:p>
      <w:pPr>
        <w:pStyle w:val="Normal1"/>
        <w:numPr>
          <w:ilvl w:val="0"/>
          <w:numId w:val="14"/>
        </w:numPr>
        <w:rPr>
          <w:rFonts w:eastAsia="Arial" w:cs="Arial" w:ascii="Arial" w:hAnsi="Arial"/>
          <w:sz w:val="22"/>
          <w:vertAlign w:val="superscript"/>
        </w:rPr>
      </w:pPr>
      <w:r>
        <w:rPr>
          <w:rFonts w:eastAsia="Arial" w:cs="Arial" w:ascii="Arial" w:hAnsi="Arial"/>
          <w:sz w:val="22"/>
        </w:rPr>
        <w:t>Developed course syllabus, goals, outcomes, and assessments and distributed via Blackboard</w:t>
      </w:r>
      <w:r>
        <w:rPr>
          <w:rFonts w:eastAsia="Arial" w:cs="Arial" w:ascii="Arial" w:hAnsi="Arial"/>
          <w:sz w:val="22"/>
          <w:vertAlign w:val="superscript"/>
        </w:rPr>
        <w:t>®</w:t>
      </w:r>
    </w:p>
    <w:p>
      <w:pPr>
        <w:pStyle w:val="Normal1"/>
        <w:numPr>
          <w:ilvl w:val="0"/>
          <w:numId w:val="14"/>
        </w:numPr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Provided therapeutics lectures to pharmacy students in their 3</w:t>
      </w:r>
      <w:r>
        <w:rPr>
          <w:rFonts w:eastAsia="Arial" w:cs="Arial" w:ascii="Arial" w:hAnsi="Arial"/>
          <w:sz w:val="22"/>
          <w:vertAlign w:val="superscript"/>
        </w:rPr>
        <w:t>rd</w:t>
      </w:r>
      <w:r>
        <w:rPr>
          <w:rFonts w:eastAsia="Arial" w:cs="Arial" w:ascii="Arial" w:hAnsi="Arial"/>
          <w:sz w:val="22"/>
        </w:rPr>
        <w:t xml:space="preserve"> professional year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MedStar Georgetown University Hospital</w:t>
        <w:tab/>
        <w:tab/>
        <w:tab/>
        <w:t xml:space="preserve">                                     </w:t>
      </w:r>
      <w:r>
        <w:rPr>
          <w:rFonts w:eastAsia="Arial" w:cs="Arial" w:ascii="Arial" w:hAnsi="Arial"/>
          <w:sz w:val="22"/>
        </w:rPr>
        <w:t>July 2014 – Present</w:t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High Reliability Organization Error Prevention Instructor</w:t>
      </w:r>
    </w:p>
    <w:p>
      <w:pPr>
        <w:pStyle w:val="Normal1"/>
        <w:numPr>
          <w:ilvl w:val="0"/>
          <w:numId w:val="24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Delivered recurring 3 hour lectures to hospital staff members of every discipline with the goal of reducing and preventing errors</w:t>
      </w:r>
    </w:p>
    <w:p>
      <w:pPr>
        <w:pStyle w:val="Normal1"/>
        <w:numPr>
          <w:ilvl w:val="0"/>
          <w:numId w:val="24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Provide ongoing “as needed” assistance to new hires regarding error prevention</w:t>
      </w:r>
    </w:p>
    <w:p>
      <w:pPr>
        <w:pStyle w:val="Normal1"/>
        <w:spacing w:before="0" w:after="0"/>
        <w:ind w:left="720" w:right="0" w:hanging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Howard University College of Pharmacy</w:t>
      </w:r>
      <w:r>
        <w:rPr>
          <w:rFonts w:eastAsia="Arial" w:cs="Arial" w:ascii="Arial" w:hAnsi="Arial"/>
          <w:sz w:val="22"/>
        </w:rPr>
        <w:t xml:space="preserve">       </w:t>
        <w:tab/>
        <w:tab/>
        <w:t xml:space="preserve">                                 May 2010 – May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Chief Student Tutor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Supervisor: Soon Park, PharmD</w:t>
      </w:r>
    </w:p>
    <w:p>
      <w:pPr>
        <w:pStyle w:val="Normal1"/>
        <w:numPr>
          <w:ilvl w:val="0"/>
          <w:numId w:val="4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Organized weekly schedule of tutorials for all classes in the college of pharmacy</w:t>
      </w:r>
    </w:p>
    <w:p>
      <w:pPr>
        <w:pStyle w:val="Normal1"/>
        <w:numPr>
          <w:ilvl w:val="0"/>
          <w:numId w:val="4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Provide weekly tutorials in Pharmacology and Therapeutics in both group and one-on-one settings</w:t>
      </w:r>
    </w:p>
    <w:p>
      <w:pPr>
        <w:pStyle w:val="Normal1"/>
        <w:numPr>
          <w:ilvl w:val="0"/>
          <w:numId w:val="4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Work closely with professors to provide assistance to students having difficulty in the class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Post Graduate Year One Residency Experience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Adult Internal Medicine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June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Dev Chatterji, PharmD, BCPS</w:t>
      </w:r>
    </w:p>
    <w:p>
      <w:pPr>
        <w:pStyle w:val="Normal1"/>
        <w:numPr>
          <w:ilvl w:val="0"/>
          <w:numId w:val="22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Served as an independent clinical pharmacist for an internal medicine floor with an average of 20 patients per day</w:t>
      </w:r>
    </w:p>
    <w:p>
      <w:pPr>
        <w:pStyle w:val="Normal1"/>
        <w:numPr>
          <w:ilvl w:val="0"/>
          <w:numId w:val="22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Provided several 30 minute medication class review sessions to medical residents, interns, and students</w:t>
      </w:r>
    </w:p>
    <w:p>
      <w:pPr>
        <w:pStyle w:val="Normal1"/>
        <w:numPr>
          <w:ilvl w:val="0"/>
          <w:numId w:val="22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Provided extensive medication reconciliations to patients prior to discharge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Ambulatory Care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May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Jonathon Puhl, PharmD</w:t>
      </w:r>
    </w:p>
    <w:p>
      <w:pPr>
        <w:pStyle w:val="Normal1"/>
        <w:numPr>
          <w:ilvl w:val="0"/>
          <w:numId w:val="21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Served as clinical pharmacist for an outpatient general medicine clinic, providing drug information and patient counseling services for attending and resident physicians</w:t>
      </w:r>
    </w:p>
    <w:p>
      <w:pPr>
        <w:pStyle w:val="Normal1"/>
        <w:numPr>
          <w:ilvl w:val="0"/>
          <w:numId w:val="21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Scheduled hour-long medication therapy management sessions for patients with complex medication regimens</w:t>
      </w:r>
    </w:p>
    <w:p>
      <w:pPr>
        <w:pStyle w:val="Normal1"/>
        <w:numPr>
          <w:ilvl w:val="0"/>
          <w:numId w:val="21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Communicated with patients, physicians, and third party payers to optimize and simplify medication regimens when possible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Antimicrobial Management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April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Lan Duong, PharmD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Precepted three fourth year pharmacy students in antimicrobial stewardship and principles/topics of infectious disease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Reviewed patient medication profiles daily based off of a target list of anti-infective agents and made interventions to therapy where appropriate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Rounded with infectious disease consult team to provide service to patients with complex antimicrobial regimens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Pediatrics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March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Anthonia Umeh, PharmD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Rounded daily with a multidisciplinary team caring for patients in both the neonatal intensive care unit (NICU) and the pediatric intensive care unit (PICU)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Completed several quality assurance summaries detailing the number of and types of medication errors reported in the pediatric department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Presented two educational 30 minute inservices to the pediatric pharmacy department on disease states/treatments common in the NICU and PICU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Practice Management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February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Varintorn Aramvareekul, MHSA, MBA, RPh, CPHQ, CSSGB, FACHE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Precepted two fourth year pharmacy students in the creation of two online educational modules designed to instruct staff members on medication safety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Launched pharmacy newsletter as a means to increase inter and intra-department communication</w:t>
      </w:r>
    </w:p>
    <w:p>
      <w:pPr>
        <w:pStyle w:val="Normal1"/>
        <w:numPr>
          <w:ilvl w:val="0"/>
          <w:numId w:val="13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Assisted in the development of a pharmacy department outcomes scorecard with the goal of setting and monitoring department goals in areas such as patient safety, satisfaction, and cost.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Adult Solid Organ Transplant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January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Annelise Nelson, PharmD, BCPS</w:t>
      </w:r>
    </w:p>
    <w:p>
      <w:pPr>
        <w:pStyle w:val="Normal1"/>
        <w:numPr>
          <w:ilvl w:val="0"/>
          <w:numId w:val="15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Rounded daily with and provided medication therapy management services to a multidisciplinary team caring for adult liver, kidney, and small bowel transplant patients</w:t>
      </w:r>
    </w:p>
    <w:p>
      <w:pPr>
        <w:pStyle w:val="Normal1"/>
        <w:numPr>
          <w:ilvl w:val="0"/>
          <w:numId w:val="15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Created drug monograph for new formulary addition simeprevir (Olysio</w:t>
      </w:r>
      <w:r>
        <w:rPr>
          <w:rFonts w:eastAsia="Arial" w:cs="Arial" w:ascii="Arial" w:hAnsi="Arial"/>
          <w:sz w:val="22"/>
          <w:vertAlign w:val="superscript"/>
        </w:rPr>
        <w:t>®</w:t>
      </w:r>
      <w:r>
        <w:rPr>
          <w:rFonts w:eastAsia="Arial" w:cs="Arial" w:ascii="Arial" w:hAnsi="Arial"/>
          <w:sz w:val="22"/>
        </w:rPr>
        <w:t>)</w:t>
      </w:r>
    </w:p>
    <w:p>
      <w:pPr>
        <w:pStyle w:val="Normal1"/>
        <w:numPr>
          <w:ilvl w:val="0"/>
          <w:numId w:val="15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Led a journal summary, critique, and discussion to a group of clinical pharmacists and student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Critical Care: Surgical Intensive Care Unit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November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Nicole Harriott, PharmD</w:t>
      </w:r>
    </w:p>
    <w:p>
      <w:pPr>
        <w:pStyle w:val="Normal1"/>
        <w:numPr>
          <w:ilvl w:val="0"/>
          <w:numId w:val="8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Precepted one fourth year pharmacy student on daily multidisciplinary patient rounds and didactic topic discussions</w:t>
      </w:r>
    </w:p>
    <w:p>
      <w:pPr>
        <w:pStyle w:val="Normal1"/>
        <w:numPr>
          <w:ilvl w:val="0"/>
          <w:numId w:val="8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Provided formal in-service to nurses detailing administration guidelines and toxicities of ganciclovir</w:t>
      </w:r>
    </w:p>
    <w:p>
      <w:pPr>
        <w:pStyle w:val="Normal1"/>
        <w:numPr>
          <w:ilvl w:val="0"/>
          <w:numId w:val="8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Actively participated on the emergency response team; providing assistance during inpatient cardiac arrests and strokes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Hematology/Oncology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October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Simona Armanca, PharmD, BCOP</w:t>
      </w:r>
    </w:p>
    <w:p>
      <w:pPr>
        <w:pStyle w:val="Normal1"/>
        <w:numPr>
          <w:ilvl w:val="0"/>
          <w:numId w:val="7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Precepted one fourth year pharmacy student during daily patient rounds with the hematology and lung cancer consult services</w:t>
      </w:r>
    </w:p>
    <w:p>
      <w:pPr>
        <w:pStyle w:val="Normal1"/>
        <w:numPr>
          <w:ilvl w:val="0"/>
          <w:numId w:val="7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Provided formal in-services to nurses (Febrile Neutropenia) and to pharmacists (Hematopoeitic Stem Cell Transplant</w:t>
      </w:r>
    </w:p>
    <w:p>
      <w:pPr>
        <w:pStyle w:val="Normal1"/>
        <w:numPr>
          <w:ilvl w:val="0"/>
          <w:numId w:val="7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Completed a data sheet summarizing an oncology research protocol under investigation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Pharmacy Informatics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September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Alan Chung, PharmD</w:t>
      </w:r>
    </w:p>
    <w:p>
      <w:pPr>
        <w:pStyle w:val="Normal1"/>
        <w:numPr>
          <w:ilvl w:val="0"/>
          <w:numId w:val="6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Assisted in the institutional changeover from traditional paper order entry to Computerized Prescriber Order Entry (CPOE)</w:t>
      </w:r>
    </w:p>
    <w:p>
      <w:pPr>
        <w:pStyle w:val="Normal1"/>
        <w:numPr>
          <w:ilvl w:val="0"/>
          <w:numId w:val="6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Researched and performed root cause analysis for institutional safety occurrence reports</w:t>
      </w:r>
    </w:p>
    <w:p>
      <w:pPr>
        <w:pStyle w:val="Normal1"/>
        <w:numPr>
          <w:ilvl w:val="0"/>
          <w:numId w:val="6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Led daily pharmacy meetings to inform staff of common issues regarding CPOE transition and their suggested resolution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Adult Internal Medicine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August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Amy Ives, PharmD, BCPS</w:t>
      </w:r>
    </w:p>
    <w:p>
      <w:pPr>
        <w:pStyle w:val="Normal1"/>
        <w:numPr>
          <w:ilvl w:val="0"/>
          <w:numId w:val="5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Rounded daily with a multidisciplinary team to provide drug information services, patient care plans, and drug monitoring services</w:t>
      </w:r>
    </w:p>
    <w:p>
      <w:pPr>
        <w:pStyle w:val="Normal1"/>
        <w:numPr>
          <w:ilvl w:val="0"/>
          <w:numId w:val="5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Completed medication reconciliation and documented interventions in the patient medical record</w:t>
      </w:r>
    </w:p>
    <w:p>
      <w:pPr>
        <w:pStyle w:val="Normal1"/>
        <w:numPr>
          <w:ilvl w:val="0"/>
          <w:numId w:val="5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Provided a formal in-service to medical residents and students on antibiotic selection and pharmacokinetics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Longitudinal Post Graduate Year One Residency Experience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Ambulatory Care and Anticoagulation Therapy Management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Jonathon Puhl, PharmD</w:t>
      </w:r>
    </w:p>
    <w:p>
      <w:pPr>
        <w:pStyle w:val="Normal1"/>
        <w:numPr>
          <w:ilvl w:val="0"/>
          <w:numId w:val="9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Designed and implemented evidence-based patient specific regimens and monitoring plans for initiation, bridging, and continued management of warfarin</w:t>
      </w:r>
    </w:p>
    <w:p>
      <w:pPr>
        <w:pStyle w:val="Normal1"/>
        <w:numPr>
          <w:ilvl w:val="0"/>
          <w:numId w:val="9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Communicated directly with patients to address changes in therapy and drug information requests. Documented interventions and patient progress in the electronic medical record</w:t>
      </w:r>
    </w:p>
    <w:p>
      <w:pPr>
        <w:pStyle w:val="Normal1"/>
        <w:numPr>
          <w:ilvl w:val="0"/>
          <w:numId w:val="9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Enrolled patients into the monitoring program and provided medication counseling</w:t>
      </w:r>
    </w:p>
    <w:p>
      <w:pPr>
        <w:pStyle w:val="Normal1"/>
        <w:spacing w:before="0" w:after="0"/>
        <w:ind w:left="720" w:right="0" w:hanging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Pharmacy Practice and Decentralized Staffing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Verna Brock, PharmD, BCPS</w:t>
      </w:r>
    </w:p>
    <w:p>
      <w:pPr>
        <w:pStyle w:val="Normal1"/>
        <w:numPr>
          <w:ilvl w:val="0"/>
          <w:numId w:val="10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Performed order entry and verification both pre and post-CPOE implementation on various decentralized hospital units</w:t>
      </w:r>
    </w:p>
    <w:p>
      <w:pPr>
        <w:pStyle w:val="Normal1"/>
        <w:numPr>
          <w:ilvl w:val="0"/>
          <w:numId w:val="10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Completed patient medication reconciliation, provided drug information, performed order clarification and drug dispensing</w:t>
      </w:r>
    </w:p>
    <w:p>
      <w:pPr>
        <w:pStyle w:val="Normal1"/>
        <w:numPr>
          <w:ilvl w:val="0"/>
          <w:numId w:val="10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Communicated with nurses, physicians, pharmacists, and patients to ensure continuity of care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Antiretroviral Monitoring Program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numPr>
          <w:ilvl w:val="0"/>
          <w:numId w:val="11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Conducted daily monitoring of all in-patients undergoing therapy with antiretroviral agents</w:t>
      </w:r>
    </w:p>
    <w:p>
      <w:pPr>
        <w:pStyle w:val="Normal1"/>
        <w:numPr>
          <w:ilvl w:val="0"/>
          <w:numId w:val="11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Completed medication reconciliation and performed interventions with prescribers as necessary to optimize therapy </w:t>
      </w:r>
    </w:p>
    <w:p>
      <w:pPr>
        <w:pStyle w:val="Normal1"/>
        <w:numPr>
          <w:ilvl w:val="0"/>
          <w:numId w:val="11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Recorded all interventions in the patients electronic medical record and in a data collection sheet to assess outcomes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Doctor of Pharmacy Experiential Training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VA Medical Center - Washington, DC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March 2013 – April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Sumana Alex, PharmD, BCPS</w:t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Internal Medicine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MedStar Georgetown University Hospital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February 2013 – March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Varintorn Aramvareekul, RPh</w:t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Pharmacy Administration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Walgreens Pharmacy (Store #11338) – Arlington VA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January 2013 – February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Carolyn Eimer, PharmD</w:t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Community Pharmacy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MedStar Georgetown University Hospital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November 2012 – December 2012</w:t>
        <w:br/>
        <w:t>Preceptor: Dev Chatterji, PharmD, BCPS</w:t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Internal Medicine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>Howard University Hospital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October 2012 – November 2012  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Muideen Adigun, PharmD, BCPS</w:t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General Medicine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American Association of Colleges of Pharmacy</w:t>
      </w:r>
      <w:r>
        <w:rPr>
          <w:rFonts w:eastAsia="Arial" w:cs="Arial" w:ascii="Arial" w:hAnsi="Arial"/>
          <w:sz w:val="22"/>
        </w:rPr>
        <w:t xml:space="preserve"> 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September 2012 – October 2012</w:t>
        <w:br/>
        <w:t>Preceptor: Jen Adams, PharmD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i/>
          <w:sz w:val="22"/>
        </w:rPr>
        <w:t>Elective Regulatory</w:t>
      </w:r>
      <w:r>
        <w:rPr>
          <w:rFonts w:eastAsia="Arial" w:cs="Arial" w:ascii="Arial" w:hAnsi="Arial"/>
          <w:b/>
          <w:sz w:val="22"/>
        </w:rPr>
        <w:t xml:space="preserve"> 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 xml:space="preserve">Howard University College of Pharmacy   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sz w:val="22"/>
        </w:rPr>
        <w:t>June 2012 – July 2012</w:t>
      </w:r>
      <w:r>
        <w:rPr>
          <w:rFonts w:eastAsia="Arial" w:cs="Arial" w:ascii="Arial" w:hAnsi="Arial"/>
          <w:b/>
          <w:sz w:val="22"/>
        </w:rPr>
        <w:t xml:space="preserve">                                                            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Soon Park, PharmD</w:t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Elective Academic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  <w:t xml:space="preserve">Center for Infectious Disease Management and Research – Washington, DC   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sz w:val="22"/>
        </w:rPr>
        <w:t>May 2012 – June 2012</w:t>
      </w:r>
      <w:r>
        <w:rPr>
          <w:rFonts w:eastAsia="Arial" w:cs="Arial" w:ascii="Arial" w:hAnsi="Arial"/>
          <w:b/>
          <w:sz w:val="22"/>
        </w:rPr>
        <w:t xml:space="preserve">                                                         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Preceptor: Monika Daftary, PharmD, AAHIVE</w:t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Ambulatory Care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Related Experiences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Bethany Body Art, Inc. – Bethany Beach, DE</w:t>
        <w:tab/>
        <w:tab/>
        <w:t xml:space="preserve">                            </w:t>
      </w:r>
      <w:r>
        <w:rPr>
          <w:rFonts w:eastAsia="Arial" w:cs="Arial" w:ascii="Arial" w:hAnsi="Arial"/>
          <w:sz w:val="22"/>
        </w:rPr>
        <w:t>May 2005 – August 2011</w:t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Owner/Sole Proprietor</w:t>
      </w:r>
    </w:p>
    <w:p>
      <w:pPr>
        <w:pStyle w:val="Normal1"/>
        <w:numPr>
          <w:ilvl w:val="0"/>
          <w:numId w:val="12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Opened and operated a small seasonal business selling miscellaneous beach items and temporary airbrushed tattoos</w:t>
      </w:r>
    </w:p>
    <w:p>
      <w:pPr>
        <w:pStyle w:val="Normal1"/>
        <w:numPr>
          <w:ilvl w:val="0"/>
          <w:numId w:val="12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Hired, trained, and scheduled all employees; usually about five per season</w:t>
      </w:r>
    </w:p>
    <w:p>
      <w:pPr>
        <w:pStyle w:val="Normal1"/>
        <w:numPr>
          <w:ilvl w:val="0"/>
          <w:numId w:val="12"/>
        </w:numPr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Maintained accurate sales, billing, tax, and payroll records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2"/>
        </w:rPr>
      </w:pPr>
      <w:r>
        <w:rPr>
          <w:rFonts w:eastAsia="Arial" w:cs="Arial" w:ascii="Arial" w:hAnsi="Arial"/>
          <w:b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Howard University Center of Excellence and Walgreens Pharmacy</w:t>
      </w:r>
      <w:r>
        <w:rPr>
          <w:rFonts w:eastAsia="Arial" w:cs="Arial" w:ascii="Arial" w:hAnsi="Arial"/>
          <w:sz w:val="22"/>
        </w:rPr>
        <w:t xml:space="preserve">              June 2011 – July 2011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Pharmacy Advancement through High School (PATHS) Program</w:t>
        <w:tab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Event Coordinator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Supervisor: Sharon Murphy, PhD</w:t>
      </w:r>
    </w:p>
    <w:p>
      <w:pPr>
        <w:pStyle w:val="Normal1"/>
        <w:numPr>
          <w:ilvl w:val="0"/>
          <w:numId w:val="3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Mentored a group of ten high school kids with interest in the profession of pharmacy</w:t>
      </w:r>
    </w:p>
    <w:p>
      <w:pPr>
        <w:pStyle w:val="Normal1"/>
        <w:numPr>
          <w:ilvl w:val="0"/>
          <w:numId w:val="3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Organized two weeks of events for the participants; including a museum visit, hospital tours, and small pharmacy-based lectures</w:t>
      </w:r>
    </w:p>
    <w:p>
      <w:pPr>
        <w:pStyle w:val="Normal1"/>
        <w:numPr>
          <w:ilvl w:val="0"/>
          <w:numId w:val="3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Organized open discussions about the profession of pharmacy with several faculty members at the Howard University College of Pharmacy</w:t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b/>
          <w:sz w:val="22"/>
        </w:rPr>
        <w:t>Walgreens Pharmacy (Store # 10071) – Washington, DC</w:t>
      </w:r>
      <w:r>
        <w:rPr>
          <w:rFonts w:eastAsia="Arial" w:cs="Arial" w:ascii="Arial" w:hAnsi="Arial"/>
          <w:sz w:val="22"/>
        </w:rPr>
        <w:tab/>
        <w:t xml:space="preserve">          May 2007 – September 2009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Executive Assistant Manager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Supervisor: Rick Conner, PharmD – District Manager</w:t>
      </w:r>
    </w:p>
    <w:p>
      <w:pPr>
        <w:pStyle w:val="Normal1"/>
        <w:numPr>
          <w:ilvl w:val="0"/>
          <w:numId w:val="2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Actively trained in both didactic and on-the-job settings with the direction of becoming a Walgreens Pharmacy Store Manager</w:t>
      </w:r>
    </w:p>
    <w:p>
      <w:pPr>
        <w:pStyle w:val="Normal1"/>
        <w:numPr>
          <w:ilvl w:val="0"/>
          <w:numId w:val="2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Responsible for hiring, training, and retention of all store employees (typically about 25 individuals)</w:t>
      </w:r>
    </w:p>
    <w:p>
      <w:pPr>
        <w:pStyle w:val="Normal1"/>
        <w:numPr>
          <w:ilvl w:val="0"/>
          <w:numId w:val="2"/>
        </w:numPr>
        <w:ind w:left="0" w:right="0" w:hanging="359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Trained in various aspects of successful business management; including profit and loss statements, merchandising, marketing, distribution, and customer service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Publications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ind w:left="720" w:right="0" w:hanging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Godwin O, Dyson B, Park S, Lee E. Compliance on the Consolidated Standards of Reporting Trials (CONSORT) Guidelines in Randomized Controlled Trials. </w:t>
      </w:r>
      <w:r>
        <w:rPr>
          <w:rFonts w:eastAsia="Arial" w:cs="Arial" w:ascii="Arial" w:hAnsi="Arial"/>
          <w:i/>
          <w:sz w:val="22"/>
        </w:rPr>
        <w:t>Journal of Pharmaceutical Care and Health Systems. Manuscript publication pending</w:t>
      </w:r>
      <w:r>
        <w:rPr>
          <w:rFonts w:eastAsia="Arial" w:cs="Arial" w:ascii="Arial" w:hAnsi="Arial"/>
          <w:sz w:val="22"/>
        </w:rPr>
        <w:t xml:space="preserve">. 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Fortunak J, Byrn S, Dyson B, King C, et al. An Efficient, Green Chemical Synthesis of the Malaria Drug Piperaquine. </w:t>
      </w:r>
      <w:r>
        <w:rPr>
          <w:rFonts w:eastAsia="Arial" w:cs="Arial" w:ascii="Arial" w:hAnsi="Arial"/>
          <w:i/>
          <w:sz w:val="22"/>
        </w:rPr>
        <w:t>Tropical Journal of Pharmaceutical Research</w:t>
      </w:r>
      <w:r>
        <w:rPr>
          <w:rFonts w:eastAsia="Arial" w:cs="Arial" w:ascii="Arial" w:hAnsi="Arial"/>
          <w:sz w:val="22"/>
        </w:rPr>
        <w:t>.  October, 2013. Vol. 12, No. 5.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rPr>
          <w:rFonts w:eastAsia="Arial" w:cs="Arial" w:ascii="Arial" w:hAnsi="Arial"/>
          <w:sz w:val="22"/>
        </w:rPr>
      </w:pPr>
      <w:r>
        <w:rPr>
          <w:rFonts w:cs="Arial" w:ascii="Arial" w:hAnsi="Arial"/>
          <w:sz w:val="22"/>
        </w:rPr>
        <w:t>Dyson B</w:t>
      </w:r>
      <w:r>
        <w:rPr/>
        <w:t>.</w:t>
      </w:r>
      <w:r>
        <w:rPr>
          <w:rFonts w:eastAsia="Arial" w:cs="Arial" w:ascii="Arial" w:hAnsi="Arial"/>
          <w:sz w:val="22"/>
        </w:rPr>
        <w:t xml:space="preserve"> “All About What We Weigh.” </w:t>
      </w:r>
      <w:r>
        <w:rPr>
          <w:rFonts w:eastAsia="Arial" w:cs="Arial" w:ascii="Arial" w:hAnsi="Arial"/>
          <w:i/>
          <w:sz w:val="22"/>
        </w:rPr>
        <w:t>Academic Pharmacy Now</w:t>
      </w:r>
      <w:r>
        <w:rPr>
          <w:rFonts w:eastAsia="Arial" w:cs="Arial" w:ascii="Arial" w:hAnsi="Arial"/>
          <w:sz w:val="22"/>
        </w:rPr>
        <w:t>. American Association of Colleges of Pharmacy. December, 2012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Professional Presentations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ind w:left="720" w:right="0" w:hanging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Oral Presentations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Inpatient use of eculizumab at a single-center tertiary care teaching hospital                          May 2014</w:t>
      </w:r>
    </w:p>
    <w:p>
      <w:pPr>
        <w:pStyle w:val="Normal1"/>
        <w:numPr>
          <w:ilvl w:val="0"/>
          <w:numId w:val="16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 xml:space="preserve">Platform presentation, Eastern States Residency Conference </w:t>
      </w:r>
    </w:p>
    <w:p>
      <w:pPr>
        <w:pStyle w:val="Normal1"/>
        <w:numPr>
          <w:ilvl w:val="0"/>
          <w:numId w:val="16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Hershey, PA</w:t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 xml:space="preserve">Updates in HIV Therapy      </w:t>
        <w:tab/>
        <w:tab/>
        <w:tab/>
        <w:tab/>
        <w:tab/>
        <w:t xml:space="preserve">                                                    April 2014</w:t>
      </w:r>
    </w:p>
    <w:p>
      <w:pPr>
        <w:pStyle w:val="Normal1"/>
        <w:numPr>
          <w:ilvl w:val="0"/>
          <w:numId w:val="17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ACPE-accredited activity for one contact hour of CPE credit</w:t>
      </w:r>
    </w:p>
    <w:p>
      <w:pPr>
        <w:pStyle w:val="Normal1"/>
        <w:numPr>
          <w:ilvl w:val="0"/>
          <w:numId w:val="17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MedStar Georgetown University Hospital</w:t>
      </w:r>
    </w:p>
    <w:p>
      <w:pPr>
        <w:pStyle w:val="Normal1"/>
        <w:spacing w:before="0" w:after="0"/>
        <w:ind w:left="720" w:right="0" w:hanging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 xml:space="preserve">Analysis of inpatient eculizumab use      </w:t>
        <w:tab/>
        <w:tab/>
        <w:tab/>
        <w:tab/>
        <w:tab/>
        <w:tab/>
        <w:t xml:space="preserve">          February 2014</w:t>
      </w:r>
    </w:p>
    <w:p>
      <w:pPr>
        <w:pStyle w:val="Normal1"/>
        <w:numPr>
          <w:ilvl w:val="0"/>
          <w:numId w:val="18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Medication Usage Evaluation</w:t>
      </w:r>
    </w:p>
    <w:p>
      <w:pPr>
        <w:pStyle w:val="Normal1"/>
        <w:numPr>
          <w:ilvl w:val="0"/>
          <w:numId w:val="18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 xml:space="preserve">MedStar Georgetown University Hospital P&amp;T Committee </w:t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i/>
          <w:sz w:val="22"/>
        </w:rPr>
      </w:pPr>
      <w:r>
        <w:rPr>
          <w:rFonts w:eastAsia="Arial" w:cs="Arial" w:ascii="Arial" w:hAnsi="Arial"/>
          <w:i/>
          <w:sz w:val="22"/>
        </w:rPr>
        <w:t>Poster Presentations/Abstracts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 xml:space="preserve">Potency and Stability Analysis of Antibiotic Lock Solutions          </w:t>
        <w:tab/>
        <w:t xml:space="preserve">                               December 2013</w:t>
      </w:r>
    </w:p>
    <w:p>
      <w:pPr>
        <w:pStyle w:val="Normal1"/>
        <w:numPr>
          <w:ilvl w:val="0"/>
          <w:numId w:val="19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UHC Pharmacy Council, Poster Session, ASHP Midyear Clinical Meeting</w:t>
      </w:r>
    </w:p>
    <w:p>
      <w:pPr>
        <w:pStyle w:val="Normal1"/>
        <w:numPr>
          <w:ilvl w:val="0"/>
          <w:numId w:val="19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Orlando, FL</w:t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Improving the chemotherapy dispensing process utilizing lean methodology                 December 2013</w:t>
      </w:r>
    </w:p>
    <w:p>
      <w:pPr>
        <w:pStyle w:val="Normal1"/>
        <w:numPr>
          <w:ilvl w:val="0"/>
          <w:numId w:val="20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ASHP Midyear Clinical Exhibition, Poster Session</w:t>
      </w:r>
    </w:p>
    <w:p>
      <w:pPr>
        <w:pStyle w:val="Normal1"/>
        <w:numPr>
          <w:ilvl w:val="0"/>
          <w:numId w:val="20"/>
        </w:numPr>
        <w:spacing w:before="0" w:after="0"/>
        <w:rPr>
          <w:rFonts w:eastAsia="Arial" w:cs="Arial" w:ascii="Arial" w:hAnsi="Arial"/>
          <w:color w:val="00000A"/>
          <w:sz w:val="22"/>
        </w:rPr>
      </w:pPr>
      <w:r>
        <w:rPr>
          <w:rFonts w:eastAsia="Arial" w:cs="Arial" w:ascii="Arial" w:hAnsi="Arial"/>
          <w:color w:val="00000A"/>
          <w:sz w:val="22"/>
        </w:rPr>
        <w:t>Orlando, FL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Professional Leadership Experience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MedStar Georgetown University Hospital         </w:t>
        <w:tab/>
        <w:tab/>
        <w:tab/>
        <w:t xml:space="preserve">                    July 2013 – June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Rx Express Pharmacy Newsletter Editor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MedStar Georgetown University Hospital         </w:t>
        <w:tab/>
        <w:tab/>
        <w:tab/>
        <w:t xml:space="preserve">                    July 2013 – June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Pharmacy Safety Culture Committee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MedStar Georgetown University Hospital         </w:t>
        <w:tab/>
        <w:tab/>
        <w:tab/>
        <w:t xml:space="preserve">                    July 2013 – June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Medication Safety Committee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MedStar Georgetown University Hospital         </w:t>
        <w:tab/>
        <w:tab/>
        <w:tab/>
        <w:t xml:space="preserve">                    July 2013 – June 2014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Medication Operations Committee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Association of Managed Care Pharmacy (AMCP) </w:t>
        <w:tab/>
        <w:tab/>
        <w:tab/>
        <w:tab/>
        <w:t xml:space="preserve">     August 2011 – May 2012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Chapter President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ab/>
        <w:tab/>
        <w:tab/>
        <w:tab/>
        <w:tab/>
        <w:tab/>
        <w:tab/>
        <w:t xml:space="preserve">     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 xml:space="preserve">Rho Chi Society: Beta Sigma Chapter  </w:t>
        <w:tab/>
        <w:tab/>
        <w:tab/>
        <w:tab/>
        <w:tab/>
        <w:t xml:space="preserve">     August 2011 – May 2012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Student Tutorial Chair</w:t>
      </w:r>
    </w:p>
    <w:p>
      <w:pPr>
        <w:pStyle w:val="Normal1"/>
        <w:spacing w:before="0" w:after="0"/>
        <w:ind w:left="720" w:right="0" w:hanging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Center of Excellence Student Research Program</w:t>
        <w:tab/>
        <w:tab/>
        <w:tab/>
        <w:tab/>
        <w:t xml:space="preserve">    January 2010 - May 2010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Student President (January 2010 – May 2010)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Honors and Awards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Dean Chauncey L. Cooper Memorial Award (</w:t>
      </w:r>
      <w:r>
        <w:rPr>
          <w:rFonts w:eastAsia="Arial" w:cs="Arial" w:ascii="Arial" w:hAnsi="Arial"/>
          <w:i/>
          <w:sz w:val="22"/>
        </w:rPr>
        <w:t>class salutatorian)</w:t>
      </w:r>
      <w:r>
        <w:rPr>
          <w:rFonts w:eastAsia="Arial" w:cs="Arial" w:ascii="Arial" w:hAnsi="Arial"/>
          <w:sz w:val="22"/>
        </w:rPr>
        <w:tab/>
        <w:tab/>
        <w:tab/>
        <w:tab/>
        <w:t xml:space="preserve">            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Center of Excellence Service Award (</w:t>
      </w:r>
      <w:r>
        <w:rPr>
          <w:rFonts w:eastAsia="Arial" w:cs="Arial" w:ascii="Arial" w:hAnsi="Arial"/>
          <w:i/>
          <w:sz w:val="22"/>
        </w:rPr>
        <w:t>service, dedication, and leadership)</w:t>
      </w:r>
      <w:r>
        <w:rPr>
          <w:rFonts w:eastAsia="Arial" w:cs="Arial" w:ascii="Arial" w:hAnsi="Arial"/>
          <w:sz w:val="22"/>
        </w:rPr>
        <w:tab/>
        <w:tab/>
        <w:tab/>
        <w:t xml:space="preserve">            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Merck Award (</w:t>
      </w:r>
      <w:r>
        <w:rPr>
          <w:rFonts w:eastAsia="Arial" w:cs="Arial" w:ascii="Arial" w:hAnsi="Arial"/>
          <w:i/>
          <w:sz w:val="22"/>
        </w:rPr>
        <w:t>contributions to pharmaceutical chemistry research)</w:t>
      </w:r>
      <w:r>
        <w:rPr>
          <w:rFonts w:eastAsia="Arial" w:cs="Arial" w:ascii="Arial" w:hAnsi="Arial"/>
          <w:sz w:val="22"/>
        </w:rPr>
        <w:tab/>
        <w:tab/>
        <w:tab/>
        <w:t xml:space="preserve">                        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Pharmaceutical Health Services Research Award (</w:t>
      </w:r>
      <w:r>
        <w:rPr>
          <w:rFonts w:eastAsia="Arial" w:cs="Arial" w:ascii="Arial" w:hAnsi="Arial"/>
          <w:i/>
          <w:sz w:val="22"/>
        </w:rPr>
        <w:t>contributions to epidemiology research)</w:t>
      </w:r>
      <w:r>
        <w:rPr>
          <w:rFonts w:eastAsia="Arial" w:cs="Arial" w:ascii="Arial" w:hAnsi="Arial"/>
          <w:sz w:val="22"/>
        </w:rPr>
        <w:t xml:space="preserve">          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Howard University College of Pharmacy Scholarship Recipient                                                       2012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AACP Walmart Scholars Program Scholarship Recipient                                                                 2011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Sylvester Flowers Endowed Scholarship Recipient                                                                          2011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Trustee Scholarship Recipient (</w:t>
      </w:r>
      <w:r>
        <w:rPr>
          <w:rFonts w:eastAsia="Arial" w:cs="Arial" w:ascii="Arial" w:hAnsi="Arial"/>
          <w:i/>
          <w:sz w:val="22"/>
        </w:rPr>
        <w:t>merit based</w:t>
      </w:r>
      <w:r>
        <w:rPr>
          <w:rFonts w:eastAsia="Arial" w:cs="Arial" w:ascii="Arial" w:hAnsi="Arial"/>
          <w:sz w:val="22"/>
        </w:rPr>
        <w:t>)                                                                         2010 - 2013</w:t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Dean’s List; Howard University College of Pharmacy                                                            2009 - 2013</w:t>
        <w:tab/>
        <w:tab/>
        <w:tab/>
        <w:tab/>
        <w:tab/>
        <w:tab/>
        <w:tab/>
        <w:tab/>
        <w:tab/>
        <w:tab/>
        <w:tab/>
        <w:t xml:space="preserve"> 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>
          <w:rFonts w:eastAsia="Arial" w:cs="Arial" w:ascii="Arial" w:hAnsi="Arial"/>
          <w:b/>
          <w:sz w:val="26"/>
        </w:rPr>
      </w:pPr>
      <w:r>
        <w:rPr>
          <w:rFonts w:eastAsia="Arial" w:cs="Arial" w:ascii="Arial" w:hAnsi="Arial"/>
          <w:b/>
          <w:sz w:val="26"/>
        </w:rPr>
        <w:t>References</w:t>
      </w:r>
    </w:p>
    <w:p>
      <w:pPr>
        <w:pStyle w:val="Normal1"/>
        <w:spacing w:before="0" w:after="0"/>
        <w:rPr>
          <w:rFonts w:eastAsia="Arial" w:cs="Arial" w:ascii="Arial" w:hAnsi="Arial"/>
          <w:b/>
          <w:szCs w:val="24"/>
        </w:rPr>
      </w:pPr>
      <w:r>
        <w:rPr>
          <w:rFonts w:eastAsia="Arial" w:cs="Arial" w:ascii="Arial" w:hAnsi="Arial"/>
          <w:b/>
          <w:szCs w:val="24"/>
        </w:rPr>
        <w:t>_________________________________________________________________________</w:t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spacing w:before="0" w:after="0"/>
        <w:rPr>
          <w:rFonts w:eastAsia="Arial" w:cs="Arial" w:ascii="Arial" w:hAnsi="Arial"/>
          <w:sz w:val="22"/>
        </w:rPr>
      </w:pPr>
      <w:r>
        <w:rPr>
          <w:rFonts w:eastAsia="Arial" w:cs="Arial" w:ascii="Arial" w:hAnsi="Arial"/>
          <w:sz w:val="22"/>
        </w:rPr>
        <w:t>Available upon request</w:t>
      </w:r>
    </w:p>
    <w:sectPr>
      <w:footerReference w:type="default" r:id="rId2"/>
      <w:type w:val="nextPage"/>
      <w:pgSz w:w="12240" w:h="15840"/>
      <w:pgMar w:left="1134" w:right="1134" w:header="0" w:top="1134" w:footer="72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Georgia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swiss"/>
    <w:pitch w:val="default"/>
  </w:font>
  <w:font w:name="Symbol">
    <w:charset w:val="02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1"/>
      <w:pBdr>
        <w:top w:val="single" w:sz="4" w:space="1" w:color="00000A"/>
        <w:left w:val="nil"/>
        <w:bottom w:val="nil"/>
        <w:right w:val="nil"/>
      </w:pBdr>
      <w:rPr/>
    </w:pPr>
    <w:r>
      <w:rPr/>
    </w:r>
  </w:p>
  <w:p>
    <w:pPr>
      <w:pStyle w:val="Normal1"/>
      <w:tabs>
        <w:tab w:val="right" w:pos="9972" w:leader="none"/>
      </w:tabs>
      <w:spacing w:before="0" w:after="0"/>
      <w:rPr>
        <w:rFonts w:eastAsia="Cambria" w:cs="Cambria" w:ascii="Cambria" w:hAnsi="Cambria"/>
      </w:rPr>
    </w:pPr>
    <w:r>
      <w:rPr>
        <w:rFonts w:eastAsia="Cambria" w:cs="Cambria" w:ascii="Cambria" w:hAnsi="Cambria"/>
      </w:rPr>
      <w:tab/>
      <w:t xml:space="preserve">Dyson, Page </w:t>
    </w:r>
    <w:r>
      <w:rPr>
        <w:rFonts w:eastAsia="Cambria" w:cs="Cambria" w:ascii="Cambria" w:hAnsi="Cambria"/>
      </w:rPr>
      <w:fldChar w:fldCharType="begin"/>
    </w:r>
    <w:r>
      <w:instrText> PAGE </w:instrText>
    </w:r>
    <w:r>
      <w:fldChar w:fldCharType="separate"/>
    </w:r>
    <w:r>
      <w:t>9</w:t>
    </w:r>
    <w:r>
      <w:fldChar w:fldCharType="end"/>
    </w:r>
  </w:p>
  <w:p>
    <w:pPr>
      <w:pStyle w:val="Normal1"/>
      <w:tabs>
        <w:tab w:val="center" w:pos="4680" w:leader="none"/>
        <w:tab w:val="right" w:pos="9360" w:leader="none"/>
      </w:tabs>
      <w:spacing w:before="0" w:after="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●"/>
      <w:lvlJc w:val="left"/>
      <w:pPr>
        <w:ind w:left="720" w:hanging="-36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1">
      <w:start w:val="1"/>
      <w:numFmt w:val="bullet"/>
      <w:lvlText w:val="○"/>
      <w:lvlJc w:val="left"/>
      <w:pPr>
        <w:ind w:left="1440" w:hanging="-108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2">
      <w:start w:val="1"/>
      <w:numFmt w:val="bullet"/>
      <w:lvlText w:val="■"/>
      <w:lvlJc w:val="left"/>
      <w:pPr>
        <w:ind w:left="2160" w:hanging="-180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3">
      <w:start w:val="1"/>
      <w:numFmt w:val="bullet"/>
      <w:lvlText w:val="●"/>
      <w:lvlJc w:val="left"/>
      <w:pPr>
        <w:ind w:left="2880" w:hanging="-252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4">
      <w:start w:val="1"/>
      <w:numFmt w:val="bullet"/>
      <w:lvlText w:val="○"/>
      <w:lvlJc w:val="left"/>
      <w:pPr>
        <w:ind w:left="3600" w:hanging="-324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5">
      <w:start w:val="1"/>
      <w:numFmt w:val="bullet"/>
      <w:lvlText w:val="■"/>
      <w:lvlJc w:val="left"/>
      <w:pPr>
        <w:ind w:left="4320" w:hanging="-396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6">
      <w:start w:val="1"/>
      <w:numFmt w:val="bullet"/>
      <w:lvlText w:val="●"/>
      <w:lvlJc w:val="left"/>
      <w:pPr>
        <w:ind w:left="5040" w:hanging="-468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7">
      <w:start w:val="1"/>
      <w:numFmt w:val="bullet"/>
      <w:lvlText w:val="○"/>
      <w:lvlJc w:val="left"/>
      <w:pPr>
        <w:ind w:left="5760" w:hanging="-540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8">
      <w:start w:val="1"/>
      <w:numFmt w:val="bullet"/>
      <w:lvlText w:val="■"/>
      <w:lvlJc w:val="left"/>
      <w:pPr>
        <w:ind w:left="6480" w:hanging="-612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-36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1">
      <w:start w:val="1"/>
      <w:numFmt w:val="bullet"/>
      <w:lvlText w:val="○"/>
      <w:lvlJc w:val="left"/>
      <w:pPr>
        <w:ind w:left="1440" w:hanging="-108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2">
      <w:start w:val="1"/>
      <w:numFmt w:val="bullet"/>
      <w:lvlText w:val="■"/>
      <w:lvlJc w:val="left"/>
      <w:pPr>
        <w:ind w:left="2160" w:hanging="-180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3">
      <w:start w:val="1"/>
      <w:numFmt w:val="bullet"/>
      <w:lvlText w:val="●"/>
      <w:lvlJc w:val="left"/>
      <w:pPr>
        <w:ind w:left="2880" w:hanging="-252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4">
      <w:start w:val="1"/>
      <w:numFmt w:val="bullet"/>
      <w:lvlText w:val="○"/>
      <w:lvlJc w:val="left"/>
      <w:pPr>
        <w:ind w:left="3600" w:hanging="-324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5">
      <w:start w:val="1"/>
      <w:numFmt w:val="bullet"/>
      <w:lvlText w:val="■"/>
      <w:lvlJc w:val="left"/>
      <w:pPr>
        <w:ind w:left="4320" w:hanging="-396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6">
      <w:start w:val="1"/>
      <w:numFmt w:val="bullet"/>
      <w:lvlText w:val="●"/>
      <w:lvlJc w:val="left"/>
      <w:pPr>
        <w:ind w:left="5040" w:hanging="-468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7">
      <w:start w:val="1"/>
      <w:numFmt w:val="bullet"/>
      <w:lvlText w:val="○"/>
      <w:lvlJc w:val="left"/>
      <w:pPr>
        <w:ind w:left="5760" w:hanging="-540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8">
      <w:start w:val="1"/>
      <w:numFmt w:val="bullet"/>
      <w:lvlText w:val="■"/>
      <w:lvlJc w:val="left"/>
      <w:pPr>
        <w:ind w:left="6480" w:hanging="-612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-36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1">
      <w:start w:val="1"/>
      <w:numFmt w:val="bullet"/>
      <w:lvlText w:val="○"/>
      <w:lvlJc w:val="left"/>
      <w:pPr>
        <w:ind w:left="1440" w:hanging="-108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2">
      <w:start w:val="1"/>
      <w:numFmt w:val="bullet"/>
      <w:lvlText w:val="■"/>
      <w:lvlJc w:val="left"/>
      <w:pPr>
        <w:ind w:left="2160" w:hanging="-180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3">
      <w:start w:val="1"/>
      <w:numFmt w:val="bullet"/>
      <w:lvlText w:val="●"/>
      <w:lvlJc w:val="left"/>
      <w:pPr>
        <w:ind w:left="2880" w:hanging="-252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4">
      <w:start w:val="1"/>
      <w:numFmt w:val="bullet"/>
      <w:lvlText w:val="○"/>
      <w:lvlJc w:val="left"/>
      <w:pPr>
        <w:ind w:left="3600" w:hanging="-324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5">
      <w:start w:val="1"/>
      <w:numFmt w:val="bullet"/>
      <w:lvlText w:val="■"/>
      <w:lvlJc w:val="left"/>
      <w:pPr>
        <w:ind w:left="4320" w:hanging="-396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6">
      <w:start w:val="1"/>
      <w:numFmt w:val="bullet"/>
      <w:lvlText w:val="●"/>
      <w:lvlJc w:val="left"/>
      <w:pPr>
        <w:ind w:left="5040" w:hanging="-468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7">
      <w:start w:val="1"/>
      <w:numFmt w:val="bullet"/>
      <w:lvlText w:val="○"/>
      <w:lvlJc w:val="left"/>
      <w:pPr>
        <w:ind w:left="5760" w:hanging="-540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8">
      <w:start w:val="1"/>
      <w:numFmt w:val="bullet"/>
      <w:lvlText w:val="■"/>
      <w:lvlJc w:val="left"/>
      <w:pPr>
        <w:ind w:left="6480" w:hanging="-612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-36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1">
      <w:start w:val="1"/>
      <w:numFmt w:val="bullet"/>
      <w:lvlText w:val="○"/>
      <w:lvlJc w:val="left"/>
      <w:pPr>
        <w:ind w:left="1440" w:hanging="-108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2">
      <w:start w:val="1"/>
      <w:numFmt w:val="bullet"/>
      <w:lvlText w:val="■"/>
      <w:lvlJc w:val="left"/>
      <w:pPr>
        <w:ind w:left="2160" w:hanging="-180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3">
      <w:start w:val="1"/>
      <w:numFmt w:val="bullet"/>
      <w:lvlText w:val="●"/>
      <w:lvlJc w:val="left"/>
      <w:pPr>
        <w:ind w:left="2880" w:hanging="-252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4">
      <w:start w:val="1"/>
      <w:numFmt w:val="bullet"/>
      <w:lvlText w:val="○"/>
      <w:lvlJc w:val="left"/>
      <w:pPr>
        <w:ind w:left="3600" w:hanging="-324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5">
      <w:start w:val="1"/>
      <w:numFmt w:val="bullet"/>
      <w:lvlText w:val="■"/>
      <w:lvlJc w:val="left"/>
      <w:pPr>
        <w:ind w:left="4320" w:hanging="-396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6">
      <w:start w:val="1"/>
      <w:numFmt w:val="bullet"/>
      <w:lvlText w:val="●"/>
      <w:lvlJc w:val="left"/>
      <w:pPr>
        <w:ind w:left="5040" w:hanging="-468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7">
      <w:start w:val="1"/>
      <w:numFmt w:val="bullet"/>
      <w:lvlText w:val="○"/>
      <w:lvlJc w:val="left"/>
      <w:pPr>
        <w:ind w:left="5760" w:hanging="-540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  <w:lvl w:ilvl="8">
      <w:start w:val="1"/>
      <w:numFmt w:val="bullet"/>
      <w:lvlText w:val="■"/>
      <w:lvlJc w:val="left"/>
      <w:pPr>
        <w:ind w:left="6480" w:hanging="-6120"/>
      </w:pPr>
      <w:rPr>
        <w:rFonts w:ascii="Arial" w:hAnsi="Arial" w:cs="Arial" w:hint="default"/>
        <w:smallCaps w:val="false"/>
        <w:caps w:val="false"/>
        <w:color w:val="000000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76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87ae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auto"/>
      <w:sz w:val="22"/>
      <w:szCs w:val="22"/>
      <w:lang w:val="en-US" w:eastAsia="en-US" w:bidi="ar-SA"/>
    </w:rPr>
  </w:style>
  <w:style w:type="paragraph" w:styleId="Heading1">
    <w:name w:val="Heading 1"/>
    <w:rsid w:val="007b4a90"/>
    <w:pPr>
      <w:widowControl w:val="false"/>
      <w:suppressAutoHyphens w:val="true"/>
      <w:spacing w:before="480" w:after="120" w:lineRule="auto" w:line="276"/>
      <w:outlineLvl w:val="0"/>
    </w:pPr>
    <w:rPr>
      <w:rFonts w:ascii="Calibri" w:hAnsi="Calibri" w:eastAsia="Droid Sans Fallback" w:cs=""/>
      <w:b/>
      <w:color w:val="auto"/>
      <w:sz w:val="48"/>
      <w:szCs w:val="22"/>
      <w:lang w:val="en-US" w:eastAsia="en-US" w:bidi="ar-SA"/>
    </w:rPr>
  </w:style>
  <w:style w:type="paragraph" w:styleId="Heading2">
    <w:name w:val="Heading 2"/>
    <w:rsid w:val="007b4a90"/>
    <w:pPr>
      <w:widowControl w:val="false"/>
      <w:suppressAutoHyphens w:val="true"/>
      <w:spacing w:before="360" w:after="80" w:lineRule="auto" w:line="276"/>
      <w:outlineLvl w:val="1"/>
    </w:pPr>
    <w:rPr>
      <w:rFonts w:ascii="Calibri" w:hAnsi="Calibri" w:eastAsia="Droid Sans Fallback" w:cs=""/>
      <w:b/>
      <w:color w:val="auto"/>
      <w:sz w:val="36"/>
      <w:szCs w:val="22"/>
      <w:lang w:val="en-US" w:eastAsia="en-US" w:bidi="ar-SA"/>
    </w:rPr>
  </w:style>
  <w:style w:type="paragraph" w:styleId="Heading3">
    <w:name w:val="Heading 3"/>
    <w:rsid w:val="007b4a90"/>
    <w:pPr>
      <w:widowControl w:val="false"/>
      <w:suppressAutoHyphens w:val="true"/>
      <w:spacing w:before="280" w:after="80" w:lineRule="auto" w:line="276"/>
      <w:outlineLvl w:val="2"/>
    </w:pPr>
    <w:rPr>
      <w:rFonts w:ascii="Calibri" w:hAnsi="Calibri" w:eastAsia="Droid Sans Fallback" w:cs=""/>
      <w:b/>
      <w:color w:val="auto"/>
      <w:sz w:val="28"/>
      <w:szCs w:val="22"/>
      <w:lang w:val="en-US" w:eastAsia="en-US" w:bidi="ar-SA"/>
    </w:rPr>
  </w:style>
  <w:style w:type="paragraph" w:styleId="Heading4">
    <w:name w:val="Heading 4"/>
    <w:rsid w:val="007b4a90"/>
    <w:pPr>
      <w:widowControl w:val="false"/>
      <w:suppressAutoHyphens w:val="true"/>
      <w:spacing w:before="240" w:after="40" w:lineRule="auto" w:line="276"/>
      <w:outlineLvl w:val="3"/>
    </w:pPr>
    <w:rPr>
      <w:rFonts w:ascii="Calibri" w:hAnsi="Calibri" w:eastAsia="Droid Sans Fallback" w:cs=""/>
      <w:b/>
      <w:color w:val="auto"/>
      <w:sz w:val="22"/>
      <w:szCs w:val="22"/>
      <w:lang w:val="en-US" w:eastAsia="en-US" w:bidi="ar-SA"/>
    </w:rPr>
  </w:style>
  <w:style w:type="paragraph" w:styleId="Heading5">
    <w:name w:val="Heading 5"/>
    <w:rsid w:val="007b4a90"/>
    <w:pPr>
      <w:widowControl w:val="false"/>
      <w:suppressAutoHyphens w:val="true"/>
      <w:spacing w:before="220" w:after="40" w:lineRule="auto" w:line="276"/>
      <w:outlineLvl w:val="4"/>
    </w:pPr>
    <w:rPr>
      <w:rFonts w:ascii="Calibri" w:hAnsi="Calibri" w:eastAsia="Droid Sans Fallback" w:cs=""/>
      <w:b/>
      <w:color w:val="auto"/>
      <w:sz w:val="22"/>
      <w:szCs w:val="22"/>
      <w:lang w:val="en-US" w:eastAsia="en-US" w:bidi="ar-SA"/>
    </w:rPr>
  </w:style>
  <w:style w:type="paragraph" w:styleId="Heading6">
    <w:name w:val="Heading 6"/>
    <w:rsid w:val="007b4a90"/>
    <w:pPr>
      <w:widowControl w:val="false"/>
      <w:suppressAutoHyphens w:val="true"/>
      <w:spacing w:before="200" w:after="40" w:lineRule="auto" w:line="276"/>
      <w:outlineLvl w:val="5"/>
    </w:pPr>
    <w:rPr>
      <w:rFonts w:ascii="Calibri" w:hAnsi="Calibri" w:eastAsia="Droid Sans Fallback" w:cs=""/>
      <w:b/>
      <w:color w:val="auto"/>
      <w:sz w:val="20"/>
      <w:szCs w:val="22"/>
      <w:lang w:val="en-US" w:eastAsia="en-US" w:bidi="ar-SA"/>
    </w:rPr>
  </w:style>
  <w:style w:type="character" w:styleId="DefaultParagraphFont" w:default="1">
    <w:name w:val="Default Paragraph Font"/>
    <w:semiHidden/>
    <w:unhideWhenUsed/>
    <w:rPr/>
  </w:style>
  <w:style w:type="character" w:styleId="ListLabel1">
    <w:name w:val="ListLabel 1"/>
    <w:rPr>
      <w:rFonts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u w:val="none"/>
      <w:vertAlign w:val="baseline"/>
    </w:rPr>
  </w:style>
  <w:style w:type="character" w:styleId="ListLabel2">
    <w:name w:val="ListLabel 2"/>
    <w:rPr>
      <w:rFonts w:cs="Courier New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Normal1" w:customStyle="1">
    <w:name w:val="LO-normal"/>
    <w:rsid w:val="007b4a90"/>
    <w:pPr>
      <w:widowControl/>
      <w:suppressAutoHyphens w:val="true"/>
      <w:bidi w:val="0"/>
      <w:spacing w:lineRule="auto" w:line="240" w:before="0" w:after="0"/>
      <w:contextualSpacing/>
      <w:jc w:val="left"/>
    </w:pPr>
    <w:rPr>
      <w:rFonts w:ascii="Times New Roman" w:hAnsi="Times New Roman" w:eastAsia="Times New Roman" w:cs="Times New Roman"/>
      <w:color w:val="000000"/>
      <w:sz w:val="24"/>
      <w:szCs w:val="22"/>
      <w:lang w:val="en-US" w:eastAsia="en-US" w:bidi="ar-SA"/>
    </w:rPr>
  </w:style>
  <w:style w:type="paragraph" w:styleId="Title">
    <w:name w:val="Title"/>
    <w:rsid w:val="007b4a90"/>
    <w:basedOn w:val="Normal1"/>
    <w:pPr>
      <w:spacing w:before="480" w:after="120"/>
      <w:contextualSpacing/>
    </w:pPr>
    <w:rPr>
      <w:b/>
      <w:sz w:val="72"/>
    </w:rPr>
  </w:style>
  <w:style w:type="paragraph" w:styleId="Subtitle">
    <w:name w:val="Subtitle"/>
    <w:rsid w:val="007b4a90"/>
    <w:basedOn w:val="Normal1"/>
    <w:pPr>
      <w:spacing w:before="360" w:after="80"/>
      <w:contextualSpacing/>
    </w:pPr>
    <w:rPr>
      <w:rFonts w:ascii="Georgia" w:hAnsi="Georgia" w:eastAsia="Georgia" w:cs="Georgia"/>
      <w:i/>
      <w:color w:val="666666"/>
      <w:sz w:val="48"/>
    </w:rPr>
  </w:style>
  <w:style w:type="paragraph" w:styleId="NoSpacing">
    <w:name w:val="No Spacing"/>
    <w:uiPriority w:val="1"/>
    <w:qFormat/>
    <w:rsid w:val="00c627f8"/>
    <w:basedOn w:val="Normal"/>
    <w:pPr>
      <w:spacing w:lineRule="auto" w:line="240" w:before="0" w:after="0"/>
    </w:pPr>
    <w:rPr>
      <w:lang w:bidi="en-US"/>
    </w:rPr>
  </w:style>
  <w:style w:type="paragraph" w:styleId="Footer">
    <w:name w:val="Footer"/>
    <w:basedOn w:val="Normal"/>
    <w:pPr/>
    <w:rPr/>
  </w:style>
  <w:style w:type="numbering" w:styleId="NoList" w:default="1">
    <w:name w:val="No List"/>
    <w:semiHidden/>
    <w:unhideWhenUsed/>
  </w:style>
  <w:style w:type="table" w:default="1" w:styleId="TableNormal">
    <w:name w:val="Normal Table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5BDD0-32C6-44E5-AE82-6D618D25B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Microsoft Word 12.0.0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2015-03-31T13:32:00Z</dcterms:created>
  <dc:creator>Dyson, Brandon M</dc:creator>
  <dc:language>en-IN</dc:language>
  <cp:lastModifiedBy>Brandon Dyson</cp:lastModifiedBy>
  <dcterms:modified xsi:type="dcterms:W3CDTF">2015-09-13T17:19:00Z</dcterms:modified>
  <cp:revision>3</cp:revision>
  <dc:title>Curriculum Vitae_Brandon Dyson (1).doc.docx</dc:title>
</cp:coreProperties>
</file>