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DHSReportHd1"/>
        <w:rPr>
          <w:b/>
          <w:bCs/>
        </w:rPr>
      </w:pPr>
      <w:r>
        <w:rPr>
          <w:b/>
          <w:bCs/>
        </w:rPr>
        <w:t>Used vehicle inspection checklist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The following checklist includes items to check when inspecting a used vehicle:</w:t>
      </w:r>
    </w:p>
    <w:tbl>
      <w:tblPr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  <w:right w:val="nil"/>
          <w:insideV w:val="nil"/>
        </w:tblBorders>
        <w:tblCellMar>
          <w:top w:w="113" w:type="dxa"/>
          <w:left w:w="103" w:type="dxa"/>
          <w:bottom w:w="113" w:type="dxa"/>
          <w:right w:w="108" w:type="dxa"/>
        </w:tblCellMar>
      </w:tblPr>
      <w:tblGrid>
        <w:gridCol w:w="6276"/>
        <w:gridCol w:w="2603"/>
      </w:tblGrid>
      <w:tr>
        <w:trPr>
          <w:cantSplit w:val="false"/>
        </w:trPr>
        <w:tc>
          <w:tcPr>
            <w:tcW w:w="6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Web"/>
              <w:spacing w:before="280" w:after="0"/>
              <w:rPr>
                <w:rStyle w:val="StrongEmphasis"/>
              </w:rPr>
            </w:pPr>
            <w:r>
              <w:rPr>
                <w:rStyle w:val="StrongEmphasis"/>
              </w:rPr>
              <w:t>Exterior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top w:w="0" w:type="dxa"/>
              <w:left w:w="103" w:type="dxa"/>
              <w:bottom w:w="0" w:type="dxa"/>
            </w:tcMar>
          </w:tcPr>
          <w:p>
            <w:pPr>
              <w:pStyle w:val="NormalWeb"/>
              <w:spacing w:before="280" w:after="0"/>
              <w:rPr/>
            </w:pPr>
            <w:r>
              <w:rPr/>
              <w:t> </w:t>
            </w:r>
          </w:p>
        </w:tc>
      </w:tr>
      <w:tr>
        <w:trPr>
          <w:cantSplit w:val="false"/>
        </w:trPr>
        <w:tc>
          <w:tcPr>
            <w:tcW w:w="6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Web"/>
              <w:spacing w:before="280" w:after="0"/>
              <w:rPr/>
            </w:pPr>
            <w:r>
              <w:rPr/>
              <w:t>Registration label and papers compared to vehicle including Vin/Chassis No.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top w:w="0" w:type="dxa"/>
              <w:left w:w="103" w:type="dxa"/>
              <w:bottom w:w="0" w:type="dxa"/>
            </w:tcMar>
          </w:tcPr>
          <w:p>
            <w:pPr>
              <w:pStyle w:val="NormalWeb"/>
              <w:spacing w:before="280" w:after="0"/>
              <w:rPr/>
            </w:pPr>
            <w:r>
              <w:rPr/>
              <w:t> </w:t>
            </w:r>
          </w:p>
        </w:tc>
      </w:tr>
      <w:tr>
        <w:trPr>
          <w:cantSplit w:val="false"/>
        </w:trPr>
        <w:tc>
          <w:tcPr>
            <w:tcW w:w="6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Web"/>
              <w:spacing w:before="280" w:after="0"/>
              <w:rPr/>
            </w:pPr>
            <w:r>
              <w:rPr/>
              <w:t>Vehicle sits evenly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top w:w="0" w:type="dxa"/>
              <w:left w:w="103" w:type="dxa"/>
              <w:bottom w:w="0" w:type="dxa"/>
            </w:tcMar>
          </w:tcPr>
          <w:p>
            <w:pPr>
              <w:pStyle w:val="NormalWeb"/>
              <w:spacing w:before="280" w:after="0"/>
              <w:rPr/>
            </w:pPr>
            <w:r>
              <w:rPr/>
              <w:t> </w:t>
            </w:r>
          </w:p>
        </w:tc>
      </w:tr>
      <w:tr>
        <w:trPr>
          <w:cantSplit w:val="false"/>
        </w:trPr>
        <w:tc>
          <w:tcPr>
            <w:tcW w:w="6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Web"/>
              <w:spacing w:before="280" w:after="0"/>
              <w:rPr/>
            </w:pPr>
            <w:r>
              <w:rPr/>
              <w:t>Tread on tyres – depth and evenness (uneven wear could indicate unbalanced wheels, incorrect wheel alignment or uneven brake action)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top w:w="0" w:type="dxa"/>
              <w:left w:w="103" w:type="dxa"/>
              <w:bottom w:w="0" w:type="dxa"/>
            </w:tcMar>
          </w:tcPr>
          <w:p>
            <w:pPr>
              <w:pStyle w:val="NormalWeb"/>
              <w:spacing w:before="280" w:after="0"/>
              <w:rPr/>
            </w:pPr>
            <w:r>
              <w:rPr/>
              <w:t> </w:t>
            </w:r>
          </w:p>
        </w:tc>
      </w:tr>
      <w:tr>
        <w:trPr>
          <w:cantSplit w:val="false"/>
        </w:trPr>
        <w:tc>
          <w:tcPr>
            <w:tcW w:w="6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Web"/>
              <w:spacing w:before="280" w:after="0"/>
              <w:rPr/>
            </w:pPr>
            <w:r>
              <w:rPr/>
              <w:t>Check under vehicle for oil leaks from engine, transmission or shock absorbers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top w:w="0" w:type="dxa"/>
              <w:left w:w="103" w:type="dxa"/>
              <w:bottom w:w="0" w:type="dxa"/>
            </w:tcMar>
          </w:tcPr>
          <w:p>
            <w:pPr>
              <w:pStyle w:val="NormalWeb"/>
              <w:spacing w:before="280" w:after="0"/>
              <w:rPr/>
            </w:pPr>
            <w:r>
              <w:rPr/>
              <w:t> </w:t>
            </w:r>
          </w:p>
        </w:tc>
      </w:tr>
      <w:tr>
        <w:trPr>
          <w:cantSplit w:val="false"/>
        </w:trPr>
        <w:tc>
          <w:tcPr>
            <w:tcW w:w="6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Web"/>
              <w:spacing w:before="280" w:after="0"/>
              <w:rPr/>
            </w:pPr>
            <w:r>
              <w:rPr/>
              <w:t>Colour of coolant (green or red and no scum or oil)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top w:w="0" w:type="dxa"/>
              <w:left w:w="103" w:type="dxa"/>
              <w:bottom w:w="0" w:type="dxa"/>
            </w:tcMar>
          </w:tcPr>
          <w:p>
            <w:pPr>
              <w:pStyle w:val="NormalWeb"/>
              <w:spacing w:before="280" w:after="0"/>
              <w:rPr/>
            </w:pPr>
            <w:r>
              <w:rPr/>
              <w:t> </w:t>
            </w:r>
          </w:p>
        </w:tc>
      </w:tr>
      <w:tr>
        <w:trPr>
          <w:cantSplit w:val="false"/>
        </w:trPr>
        <w:tc>
          <w:tcPr>
            <w:tcW w:w="6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Web"/>
              <w:spacing w:before="280" w:after="0"/>
              <w:rPr/>
            </w:pPr>
            <w:r>
              <w:rPr/>
              <w:t>Oil (no water or grit)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top w:w="0" w:type="dxa"/>
              <w:left w:w="103" w:type="dxa"/>
              <w:bottom w:w="0" w:type="dxa"/>
            </w:tcMar>
          </w:tcPr>
          <w:p>
            <w:pPr>
              <w:pStyle w:val="NormalWeb"/>
              <w:spacing w:before="280" w:after="0"/>
              <w:rPr/>
            </w:pPr>
            <w:r>
              <w:rPr/>
              <w:t> </w:t>
            </w:r>
          </w:p>
        </w:tc>
      </w:tr>
      <w:tr>
        <w:trPr>
          <w:cantSplit w:val="false"/>
        </w:trPr>
        <w:tc>
          <w:tcPr>
            <w:tcW w:w="6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Web"/>
              <w:spacing w:before="280" w:after="0"/>
              <w:rPr/>
            </w:pPr>
            <w:r>
              <w:rPr/>
              <w:t>Brake and power-steering fluid levels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top w:w="0" w:type="dxa"/>
              <w:left w:w="103" w:type="dxa"/>
              <w:bottom w:w="0" w:type="dxa"/>
            </w:tcMar>
          </w:tcPr>
          <w:p>
            <w:pPr>
              <w:pStyle w:val="NormalWeb"/>
              <w:spacing w:before="280" w:after="0"/>
              <w:rPr/>
            </w:pPr>
            <w:r>
              <w:rPr/>
              <w:t> </w:t>
            </w:r>
          </w:p>
        </w:tc>
      </w:tr>
      <w:tr>
        <w:trPr>
          <w:cantSplit w:val="false"/>
        </w:trPr>
        <w:tc>
          <w:tcPr>
            <w:tcW w:w="6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Web"/>
              <w:spacing w:before="280" w:after="0"/>
              <w:rPr/>
            </w:pPr>
            <w:r>
              <w:rPr/>
              <w:t>Body including floor, doors and boot for marks, rust or damage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top w:w="0" w:type="dxa"/>
              <w:left w:w="103" w:type="dxa"/>
              <w:bottom w:w="0" w:type="dxa"/>
            </w:tcMar>
          </w:tcPr>
          <w:p>
            <w:pPr>
              <w:pStyle w:val="NormalWeb"/>
              <w:spacing w:before="280" w:after="0"/>
              <w:rPr/>
            </w:pPr>
            <w:r>
              <w:rPr/>
              <w:t> </w:t>
            </w:r>
          </w:p>
        </w:tc>
      </w:tr>
      <w:tr>
        <w:trPr>
          <w:cantSplit w:val="false"/>
        </w:trPr>
        <w:tc>
          <w:tcPr>
            <w:tcW w:w="6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Web"/>
              <w:spacing w:before="280" w:after="0"/>
              <w:rPr/>
            </w:pPr>
            <w:r>
              <w:rPr/>
              <w:t>Spare wheel and wheel jack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top w:w="0" w:type="dxa"/>
              <w:left w:w="103" w:type="dxa"/>
              <w:bottom w:w="0" w:type="dxa"/>
            </w:tcMar>
          </w:tcPr>
          <w:p>
            <w:pPr>
              <w:pStyle w:val="NormalWeb"/>
              <w:spacing w:before="280" w:after="0"/>
              <w:rPr/>
            </w:pPr>
            <w:r>
              <w:rPr/>
              <w:t> </w:t>
            </w:r>
          </w:p>
        </w:tc>
      </w:tr>
      <w:tr>
        <w:trPr>
          <w:cantSplit w:val="false"/>
        </w:trPr>
        <w:tc>
          <w:tcPr>
            <w:tcW w:w="6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Web"/>
              <w:spacing w:before="280" w:after="0"/>
              <w:rPr/>
            </w:pPr>
            <w:r>
              <w:rPr/>
              <w:t>Paintwork for ripples (could indicate an accident)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top w:w="0" w:type="dxa"/>
              <w:left w:w="103" w:type="dxa"/>
              <w:bottom w:w="0" w:type="dxa"/>
            </w:tcMar>
          </w:tcPr>
          <w:p>
            <w:pPr>
              <w:pStyle w:val="NormalWeb"/>
              <w:spacing w:before="280" w:after="0"/>
              <w:rPr/>
            </w:pPr>
            <w:r>
              <w:rPr/>
              <w:t> </w:t>
            </w:r>
          </w:p>
        </w:tc>
      </w:tr>
      <w:tr>
        <w:trPr>
          <w:cantSplit w:val="false"/>
        </w:trPr>
        <w:tc>
          <w:tcPr>
            <w:tcW w:w="6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Web"/>
              <w:spacing w:before="280" w:after="0"/>
              <w:rPr/>
            </w:pPr>
            <w:r>
              <w:rPr/>
              <w:t>Windows, doors and locks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top w:w="0" w:type="dxa"/>
              <w:left w:w="103" w:type="dxa"/>
              <w:bottom w:w="0" w:type="dxa"/>
            </w:tcMar>
          </w:tcPr>
          <w:p>
            <w:pPr>
              <w:pStyle w:val="NormalWeb"/>
              <w:spacing w:before="280" w:after="0"/>
              <w:rPr/>
            </w:pPr>
            <w:r>
              <w:rPr/>
              <w:t> </w:t>
            </w:r>
          </w:p>
        </w:tc>
      </w:tr>
      <w:tr>
        <w:trPr>
          <w:cantSplit w:val="false"/>
        </w:trPr>
        <w:tc>
          <w:tcPr>
            <w:tcW w:w="6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Web"/>
              <w:spacing w:before="280" w:after="0"/>
              <w:rPr/>
            </w:pPr>
            <w:r>
              <w:rPr/>
              <w:t>Compliance plate has not been tampered with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top w:w="0" w:type="dxa"/>
              <w:left w:w="103" w:type="dxa"/>
              <w:bottom w:w="0" w:type="dxa"/>
            </w:tcMar>
          </w:tcPr>
          <w:p>
            <w:pPr>
              <w:pStyle w:val="NormalWeb"/>
              <w:spacing w:before="280" w:after="0"/>
              <w:rPr/>
            </w:pPr>
            <w:r>
              <w:rPr/>
              <w:t> </w:t>
            </w:r>
          </w:p>
        </w:tc>
      </w:tr>
      <w:tr>
        <w:trPr>
          <w:cantSplit w:val="false"/>
        </w:trPr>
        <w:tc>
          <w:tcPr>
            <w:tcW w:w="6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Web"/>
              <w:spacing w:before="280" w:after="0"/>
              <w:rPr>
                <w:rStyle w:val="StrongEmphasis"/>
              </w:rPr>
            </w:pPr>
            <w:r>
              <w:rPr>
                <w:rStyle w:val="StrongEmphasis"/>
              </w:rPr>
              <w:t>Interior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top w:w="0" w:type="dxa"/>
              <w:left w:w="103" w:type="dxa"/>
              <w:bottom w:w="0" w:type="dxa"/>
            </w:tcMar>
          </w:tcPr>
          <w:p>
            <w:pPr>
              <w:pStyle w:val="NormalWeb"/>
              <w:spacing w:before="280" w:after="0"/>
              <w:rPr/>
            </w:pPr>
            <w:r>
              <w:rPr/>
              <w:t> </w:t>
            </w:r>
          </w:p>
        </w:tc>
      </w:tr>
      <w:tr>
        <w:trPr>
          <w:cantSplit w:val="false"/>
        </w:trPr>
        <w:tc>
          <w:tcPr>
            <w:tcW w:w="6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Web"/>
              <w:spacing w:before="280" w:after="0"/>
              <w:rPr/>
            </w:pPr>
            <w:r>
              <w:rPr/>
              <w:t>Kilometres on odometer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top w:w="0" w:type="dxa"/>
              <w:left w:w="103" w:type="dxa"/>
              <w:bottom w:w="0" w:type="dxa"/>
            </w:tcMar>
          </w:tcPr>
          <w:p>
            <w:pPr>
              <w:pStyle w:val="NormalWeb"/>
              <w:spacing w:before="280" w:after="0"/>
              <w:rPr/>
            </w:pPr>
            <w:r>
              <w:rPr/>
              <w:t> </w:t>
            </w:r>
          </w:p>
        </w:tc>
      </w:tr>
      <w:tr>
        <w:trPr>
          <w:cantSplit w:val="false"/>
        </w:trPr>
        <w:tc>
          <w:tcPr>
            <w:tcW w:w="6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Web"/>
              <w:spacing w:before="280" w:after="0"/>
              <w:rPr/>
            </w:pPr>
            <w:r>
              <w:rPr/>
              <w:t>Upholstery, dashboard and doors for wear, marks or damage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top w:w="0" w:type="dxa"/>
              <w:left w:w="103" w:type="dxa"/>
              <w:bottom w:w="0" w:type="dxa"/>
            </w:tcMar>
          </w:tcPr>
          <w:p>
            <w:pPr>
              <w:pStyle w:val="NormalWeb"/>
              <w:spacing w:before="280" w:after="0"/>
              <w:rPr/>
            </w:pPr>
            <w:r>
              <w:rPr/>
              <w:t> </w:t>
            </w:r>
          </w:p>
        </w:tc>
      </w:tr>
      <w:tr>
        <w:trPr>
          <w:cantSplit w:val="false"/>
        </w:trPr>
        <w:tc>
          <w:tcPr>
            <w:tcW w:w="6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Web"/>
              <w:spacing w:before="280" w:after="0"/>
              <w:rPr/>
            </w:pPr>
            <w:r>
              <w:rPr/>
              <w:t>Lights, windscreen wipers, horn, gauges, fan, indicators and all other instruments and equipment are fully operational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top w:w="0" w:type="dxa"/>
              <w:left w:w="103" w:type="dxa"/>
              <w:bottom w:w="0" w:type="dxa"/>
            </w:tcMar>
          </w:tcPr>
          <w:p>
            <w:pPr>
              <w:pStyle w:val="NormalWeb"/>
              <w:spacing w:before="280" w:after="0"/>
              <w:rPr/>
            </w:pPr>
            <w:r>
              <w:rPr/>
              <w:t> </w:t>
            </w:r>
          </w:p>
        </w:tc>
      </w:tr>
      <w:tr>
        <w:trPr>
          <w:cantSplit w:val="false"/>
        </w:trPr>
        <w:tc>
          <w:tcPr>
            <w:tcW w:w="6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Web"/>
              <w:spacing w:before="280" w:after="0"/>
              <w:rPr/>
            </w:pPr>
            <w:r>
              <w:rPr/>
              <w:t>Seats and seatbelts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top w:w="0" w:type="dxa"/>
              <w:left w:w="103" w:type="dxa"/>
              <w:bottom w:w="0" w:type="dxa"/>
            </w:tcMar>
          </w:tcPr>
          <w:p>
            <w:pPr>
              <w:pStyle w:val="NormalWeb"/>
              <w:spacing w:before="280" w:after="0"/>
              <w:rPr/>
            </w:pPr>
            <w:r>
              <w:rPr/>
              <w:t> </w:t>
            </w:r>
          </w:p>
        </w:tc>
      </w:tr>
      <w:tr>
        <w:trPr>
          <w:cantSplit w:val="false"/>
        </w:trPr>
        <w:tc>
          <w:tcPr>
            <w:tcW w:w="6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Web"/>
              <w:spacing w:before="280" w:after="0"/>
              <w:rPr>
                <w:rStyle w:val="StrongEmphasis"/>
              </w:rPr>
            </w:pPr>
            <w:r>
              <w:rPr>
                <w:rStyle w:val="StrongEmphasis"/>
              </w:rPr>
              <w:t>Documentation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top w:w="0" w:type="dxa"/>
              <w:left w:w="103" w:type="dxa"/>
              <w:bottom w:w="0" w:type="dxa"/>
            </w:tcMar>
          </w:tcPr>
          <w:p>
            <w:pPr>
              <w:pStyle w:val="NormalWeb"/>
              <w:spacing w:before="280" w:after="0"/>
              <w:rPr/>
            </w:pPr>
            <w:r>
              <w:rPr/>
              <w:t> </w:t>
            </w:r>
          </w:p>
        </w:tc>
      </w:tr>
      <w:tr>
        <w:trPr>
          <w:cantSplit w:val="false"/>
        </w:trPr>
        <w:tc>
          <w:tcPr>
            <w:tcW w:w="6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Web"/>
              <w:spacing w:before="280" w:after="0"/>
              <w:rPr/>
            </w:pPr>
            <w:r>
              <w:rPr/>
              <w:t>Registration label and papers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top w:w="0" w:type="dxa"/>
              <w:left w:w="103" w:type="dxa"/>
              <w:bottom w:w="0" w:type="dxa"/>
            </w:tcMar>
          </w:tcPr>
          <w:p>
            <w:pPr>
              <w:pStyle w:val="NormalWeb"/>
              <w:spacing w:before="280" w:after="0"/>
              <w:rPr/>
            </w:pPr>
            <w:r>
              <w:rPr/>
              <w:t> </w:t>
            </w:r>
          </w:p>
        </w:tc>
      </w:tr>
      <w:tr>
        <w:trPr>
          <w:cantSplit w:val="false"/>
        </w:trPr>
        <w:tc>
          <w:tcPr>
            <w:tcW w:w="6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Web"/>
              <w:spacing w:before="280" w:after="0"/>
              <w:rPr/>
            </w:pPr>
            <w:r>
              <w:rPr/>
              <w:t>Roadworthiness certificate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top w:w="0" w:type="dxa"/>
              <w:left w:w="103" w:type="dxa"/>
              <w:bottom w:w="0" w:type="dxa"/>
            </w:tcMar>
          </w:tcPr>
          <w:p>
            <w:pPr>
              <w:pStyle w:val="NormalWeb"/>
              <w:spacing w:before="280" w:after="0"/>
              <w:rPr/>
            </w:pPr>
            <w:r>
              <w:rPr/>
              <w:t> </w:t>
            </w:r>
          </w:p>
        </w:tc>
      </w:tr>
      <w:tr>
        <w:trPr>
          <w:cantSplit w:val="false"/>
        </w:trPr>
        <w:tc>
          <w:tcPr>
            <w:tcW w:w="6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Web"/>
              <w:spacing w:before="280" w:after="0"/>
              <w:rPr/>
            </w:pPr>
            <w:r>
              <w:rPr/>
              <w:t>Warranty/service book and owners manual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top w:w="0" w:type="dxa"/>
              <w:left w:w="103" w:type="dxa"/>
              <w:bottom w:w="0" w:type="dxa"/>
            </w:tcMar>
          </w:tcPr>
          <w:p>
            <w:pPr>
              <w:pStyle w:val="NormalWeb"/>
              <w:spacing w:before="280" w:after="0"/>
              <w:rPr/>
            </w:pPr>
            <w:r>
              <w:rPr/>
              <w:t> </w:t>
            </w:r>
          </w:p>
        </w:tc>
      </w:tr>
      <w:tr>
        <w:trPr>
          <w:cantSplit w:val="false"/>
        </w:trPr>
        <w:tc>
          <w:tcPr>
            <w:tcW w:w="6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Web"/>
              <w:spacing w:before="280" w:after="0"/>
              <w:rPr/>
            </w:pPr>
            <w:r>
              <w:rPr/>
              <w:t>Warranty conditions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top w:w="0" w:type="dxa"/>
              <w:left w:w="103" w:type="dxa"/>
              <w:bottom w:w="0" w:type="dxa"/>
            </w:tcMar>
          </w:tcPr>
          <w:p>
            <w:pPr>
              <w:pStyle w:val="NormalWeb"/>
              <w:spacing w:before="280" w:after="0"/>
              <w:rPr/>
            </w:pPr>
            <w:r>
              <w:rPr/>
              <w:t> 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Verdana">
    <w:charset w:val="00"/>
    <w:family w:val="swiss"/>
    <w:pitch w:val="variable"/>
  </w:font>
  <w:font w:name="Symbol">
    <w:charset w:val="01"/>
    <w:family w:val="roman"/>
    <w:pitch w:val="variable"/>
  </w:font>
  <w:font w:name="Courier New">
    <w:charset w:val="00"/>
    <w:family w:val="modern"/>
    <w:pitch w:val="default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360"/>
        </w:tabs>
        <w:ind w:left="142" w:hanging="142"/>
      </w:pPr>
      <w:rPr>
        <w:rFonts w:ascii="Symbol" w:hAnsi="Symbol" w:cs="Symbol" w:hint="default"/>
      </w:rPr>
    </w:lvl>
  </w:abstractNum>
  <w:abstractNum w:abstractNumId="3">
    <w:lvl w:ilvl="0">
      <w:start w:val="1"/>
      <w:numFmt w:val="decimal"/>
      <w:lvlText w:val=""/>
      <w:lvlJc w:val="left"/>
      <w:pPr>
        <w:tabs>
          <w:tab w:val="num" w:pos="567"/>
        </w:tabs>
        <w:ind w:left="567" w:hanging="567"/>
      </w:pPr>
      <w:rPr/>
    </w:lvl>
    <w:lvl w:ilvl="1">
      <w:start w:val="1"/>
      <w:numFmt w:val="decimal"/>
      <w:lvlText w:val="%1.%2"/>
      <w:lvlJc w:val="left"/>
      <w:pPr>
        <w:tabs>
          <w:tab w:val="num" w:pos="1418"/>
        </w:tabs>
        <w:ind w:left="1418" w:hanging="851"/>
      </w:pPr>
      <w:rPr/>
    </w:lvl>
    <w:lvl w:ilvl="2">
      <w:start w:val="1"/>
      <w:numFmt w:val="decimal"/>
      <w:lvlText w:val="%2.%3.1"/>
      <w:lvlJc w:val="left"/>
      <w:pPr>
        <w:tabs>
          <w:tab w:val="num" w:pos="2552"/>
        </w:tabs>
        <w:ind w:left="2552" w:hanging="1134"/>
      </w:pPr>
      <w:rPr/>
    </w:lvl>
    <w:lvl w:ilvl="3">
      <w:start w:val="1"/>
      <w:numFmt w:val="none"/>
      <w:suff w:val="nothing"/>
      <w:lvlText w:val="1.1.1.1"/>
      <w:lvlJc w:val="left"/>
      <w:pPr>
        <w:tabs>
          <w:tab w:val="num" w:pos="3686"/>
        </w:tabs>
        <w:ind w:left="3686" w:hanging="1134"/>
      </w:pPr>
      <w:rPr/>
    </w:lvl>
    <w:lvl w:ilvl="4">
      <w:start w:val="1"/>
      <w:numFmt w:val="none"/>
      <w:suff w:val="nothing"/>
      <w:lvlText w:val="1.1.1.1.1"/>
      <w:lvlJc w:val="left"/>
      <w:pPr>
        <w:tabs>
          <w:tab w:val="num" w:pos="7088"/>
        </w:tabs>
        <w:ind w:left="7088" w:hanging="2552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7164"/>
        </w:tabs>
        <w:ind w:left="7088" w:hanging="284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7164"/>
        </w:tabs>
        <w:ind w:left="7088" w:hanging="284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7164"/>
        </w:tabs>
        <w:ind w:left="7088" w:hanging="284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7164"/>
        </w:tabs>
        <w:ind w:left="7088" w:hanging="284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/>
      <w:suppressAutoHyphens w:val="true"/>
      <w:bidi w:val="0"/>
    </w:pPr>
    <w:rPr>
      <w:rFonts w:ascii="Verdana" w:hAnsi="Verdana" w:eastAsia="Times New Roman" w:cs="Verdana"/>
      <w:color w:val="auto"/>
      <w:sz w:val="20"/>
      <w:szCs w:val="20"/>
      <w:lang w:val="en-AU" w:bidi="ar-SA" w:eastAsia="zh-CN"/>
    </w:rPr>
  </w:style>
  <w:style w:type="paragraph" w:styleId="Heading1">
    <w:name w:val="Heading 1"/>
    <w:basedOn w:val="Normal"/>
    <w:next w:val="TextBody"/>
    <w:pPr>
      <w:numPr>
        <w:ilvl w:val="0"/>
        <w:numId w:val="1"/>
      </w:numPr>
      <w:spacing w:before="280" w:after="280"/>
      <w:outlineLvl w:val="0"/>
      <w:outlineLvl w:val="0"/>
    </w:pPr>
    <w:rPr>
      <w:b/>
      <w:bCs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numPr>
        <w:ilvl w:val="1"/>
        <w:numId w:val="1"/>
      </w:numPr>
      <w:pBdr>
        <w:top w:val="nil"/>
        <w:left w:val="nil"/>
        <w:bottom w:val="single" w:sz="4" w:space="1" w:color="000000"/>
        <w:right w:val="nil"/>
      </w:pBdr>
      <w:jc w:val="center"/>
      <w:outlineLvl w:val="1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pPr>
      <w:keepNext/>
      <w:widowControl w:val="false"/>
      <w:numPr>
        <w:ilvl w:val="2"/>
        <w:numId w:val="1"/>
      </w:numPr>
      <w:overflowPunct w:val="false"/>
      <w:autoSpaceDE w:val="false"/>
      <w:spacing w:before="240" w:after="60"/>
      <w:textAlignment w:val="baseline"/>
      <w:outlineLvl w:val="2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pPr>
      <w:keepNext/>
      <w:numPr>
        <w:ilvl w:val="3"/>
        <w:numId w:val="1"/>
      </w:numPr>
      <w:jc w:val="both"/>
      <w:outlineLvl w:val="3"/>
      <w:outlineLvl w:val="3"/>
    </w:pPr>
    <w:rPr>
      <w:b/>
      <w:sz w:val="24"/>
      <w:u w:val="single"/>
    </w:rPr>
  </w:style>
  <w:style w:type="paragraph" w:styleId="Heading5">
    <w:name w:val="Heading 5"/>
    <w:basedOn w:val="Normal"/>
    <w:next w:val="Normal"/>
    <w:pPr>
      <w:keepNext/>
      <w:numPr>
        <w:ilvl w:val="4"/>
        <w:numId w:val="1"/>
      </w:numPr>
      <w:outlineLvl w:val="4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widowControl w:val="false"/>
      <w:numPr>
        <w:ilvl w:val="5"/>
        <w:numId w:val="1"/>
      </w:numPr>
      <w:overflowPunct w:val="false"/>
      <w:autoSpaceDE w:val="false"/>
      <w:jc w:val="center"/>
      <w:textAlignment w:val="baseline"/>
      <w:outlineLvl w:val="5"/>
      <w:outlineLvl w:val="5"/>
    </w:pPr>
    <w:rPr>
      <w:b/>
      <w:bCs/>
      <w:sz w:val="18"/>
    </w:rPr>
  </w:style>
  <w:style w:type="paragraph" w:styleId="Heading7">
    <w:name w:val="Heading 7"/>
    <w:basedOn w:val="Normal"/>
    <w:next w:val="Normal"/>
    <w:pPr>
      <w:keepNext/>
      <w:widowControl w:val="false"/>
      <w:numPr>
        <w:ilvl w:val="6"/>
        <w:numId w:val="1"/>
      </w:numPr>
      <w:overflowPunct w:val="false"/>
      <w:autoSpaceDE w:val="false"/>
      <w:ind w:left="357" w:right="0" w:hanging="0"/>
      <w:jc w:val="center"/>
      <w:textAlignment w:val="baseline"/>
      <w:outlineLvl w:val="6"/>
      <w:outlineLvl w:val="6"/>
    </w:pPr>
    <w:rPr>
      <w:b/>
      <w:sz w:val="18"/>
    </w:rPr>
  </w:style>
  <w:style w:type="paragraph" w:styleId="Heading8">
    <w:name w:val="Heading 8"/>
    <w:basedOn w:val="Normal"/>
    <w:next w:val="Normal"/>
    <w:pPr>
      <w:numPr>
        <w:ilvl w:val="7"/>
        <w:numId w:val="1"/>
      </w:numPr>
      <w:spacing w:before="240" w:after="60"/>
      <w:outlineLvl w:val="7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pPr>
      <w:numPr>
        <w:ilvl w:val="8"/>
        <w:numId w:val="1"/>
      </w:numPr>
      <w:spacing w:before="240" w:after="60"/>
      <w:outlineLvl w:val="8"/>
      <w:outlineLvl w:val="8"/>
    </w:pPr>
    <w:rPr>
      <w:rFonts w:cs="Arial"/>
      <w:szCs w:val="22"/>
    </w:rPr>
  </w:style>
  <w:style w:type="character" w:styleId="WW8Num1z0">
    <w:name w:val="WW8Num1z0"/>
    <w:rPr>
      <w:rFonts w:ascii="Symbol" w:hAnsi="Symbol" w:cs="Symbol"/>
      <w:color w:val="000000"/>
    </w:rPr>
  </w:style>
  <w:style w:type="character" w:styleId="WW8Num1z1">
    <w:name w:val="WW8Num1z1"/>
    <w:rPr>
      <w:rFonts w:ascii="Courier New" w:hAnsi="Courier New" w:cs="Courier New"/>
    </w:rPr>
  </w:style>
  <w:style w:type="character" w:styleId="WW8Num1z2">
    <w:name w:val="WW8Num1z2"/>
    <w:rPr>
      <w:rFonts w:ascii="Wingdings" w:hAnsi="Wingdings" w:cs="Wingdings"/>
    </w:rPr>
  </w:style>
  <w:style w:type="character" w:styleId="WW8Num1z3">
    <w:name w:val="WW8Num1z3"/>
    <w:rPr>
      <w:rFonts w:ascii="Symbol" w:hAnsi="Symbol" w:cs="Symbol"/>
    </w:rPr>
  </w:style>
  <w:style w:type="character" w:styleId="WW8Num2z0">
    <w:name w:val="WW8Num2z0"/>
    <w:rPr>
      <w:rFonts w:ascii="Symbol" w:hAnsi="Symbol" w:cs="Symbol"/>
      <w:color w:val="000000"/>
    </w:rPr>
  </w:style>
  <w:style w:type="character" w:styleId="WW8Num2z1">
    <w:name w:val="WW8Num2z1"/>
    <w:rPr>
      <w:rFonts w:ascii="Courier New" w:hAnsi="Courier New" w:cs="Courier New"/>
    </w:rPr>
  </w:style>
  <w:style w:type="character" w:styleId="WW8Num2z2">
    <w:name w:val="WW8Num2z2"/>
    <w:rPr>
      <w:rFonts w:ascii="Wingdings" w:hAnsi="Wingdings" w:cs="Wingdings"/>
    </w:rPr>
  </w:style>
  <w:style w:type="character" w:styleId="WW8Num2z3">
    <w:name w:val="WW8Num2z3"/>
    <w:rPr>
      <w:rFonts w:ascii="Symbol" w:hAnsi="Symbol" w:cs="Symbol"/>
    </w:rPr>
  </w:style>
  <w:style w:type="character" w:styleId="WW8Num3z0">
    <w:name w:val="WW8Num3z0"/>
    <w:rPr>
      <w:rFonts w:ascii="Symbol" w:hAnsi="Symbol" w:cs="Symbol"/>
      <w:color w:val="000000"/>
    </w:rPr>
  </w:style>
  <w:style w:type="character" w:styleId="WW8Num3z1">
    <w:name w:val="WW8Num3z1"/>
    <w:rPr>
      <w:rFonts w:ascii="Courier New" w:hAnsi="Courier New" w:cs="Courier New"/>
    </w:rPr>
  </w:style>
  <w:style w:type="character" w:styleId="WW8Num3z2">
    <w:name w:val="WW8Num3z2"/>
    <w:rPr>
      <w:rFonts w:ascii="Wingdings" w:hAnsi="Wingdings" w:cs="Wingdings"/>
    </w:rPr>
  </w:style>
  <w:style w:type="character" w:styleId="WW8Num3z3">
    <w:name w:val="WW8Num3z3"/>
    <w:rPr>
      <w:rFonts w:ascii="Symbol" w:hAnsi="Symbol" w:cs="Symbol"/>
    </w:rPr>
  </w:style>
  <w:style w:type="character" w:styleId="WW8Num4z0">
    <w:name w:val="WW8Num4z0"/>
    <w:rPr>
      <w:rFonts w:ascii="Symbol" w:hAnsi="Symbol" w:cs="Symbol"/>
    </w:rPr>
  </w:style>
  <w:style w:type="character" w:styleId="WW8Num4z1">
    <w:name w:val="WW8Num4z1"/>
    <w:rPr>
      <w:rFonts w:ascii="Courier New" w:hAnsi="Courier New" w:cs="Courier New"/>
    </w:rPr>
  </w:style>
  <w:style w:type="character" w:styleId="WW8Num4z2">
    <w:name w:val="WW8Num4z2"/>
    <w:rPr>
      <w:rFonts w:ascii="Wingdings" w:hAnsi="Wingdings" w:cs="Wingdings"/>
    </w:rPr>
  </w:style>
  <w:style w:type="character" w:styleId="WW8Num5z0">
    <w:name w:val="WW8Num5z0"/>
    <w:rPr/>
  </w:style>
  <w:style w:type="character" w:styleId="WW8Num5z1">
    <w:name w:val="WW8Num5z1"/>
    <w:rPr/>
  </w:style>
  <w:style w:type="character" w:styleId="WW8Num5z2">
    <w:name w:val="WW8Num5z2"/>
    <w:rPr/>
  </w:style>
  <w:style w:type="character" w:styleId="WW8Num5z3">
    <w:name w:val="WW8Num5z3"/>
    <w:rPr/>
  </w:style>
  <w:style w:type="character" w:styleId="WW8Num5z4">
    <w:name w:val="WW8Num5z4"/>
    <w:rPr/>
  </w:style>
  <w:style w:type="character" w:styleId="WW8Num5z5">
    <w:name w:val="WW8Num5z5"/>
    <w:rPr/>
  </w:style>
  <w:style w:type="character" w:styleId="WW8Num5z6">
    <w:name w:val="WW8Num5z6"/>
    <w:rPr/>
  </w:style>
  <w:style w:type="character" w:styleId="WW8Num5z7">
    <w:name w:val="WW8Num5z7"/>
    <w:rPr/>
  </w:style>
  <w:style w:type="character" w:styleId="WW8Num5z8">
    <w:name w:val="WW8Num5z8"/>
    <w:rPr/>
  </w:style>
  <w:style w:type="character" w:styleId="DefaultParagraphFont">
    <w:name w:val="Default Paragraph Font"/>
    <w:rPr/>
  </w:style>
  <w:style w:type="character" w:styleId="CommentReference">
    <w:name w:val="Comment Reference"/>
    <w:basedOn w:val="DefaultParagraphFont"/>
    <w:rPr>
      <w:rFonts w:ascii="Verdana" w:hAnsi="Verdana" w:cs="Verdana"/>
      <w:sz w:val="16"/>
      <w:szCs w:val="16"/>
    </w:rPr>
  </w:style>
  <w:style w:type="character" w:styleId="InternetLink">
    <w:name w:val="Internet Link"/>
    <w:basedOn w:val="DefaultParagraphFont"/>
    <w:rPr>
      <w:rFonts w:ascii="Verdana" w:hAnsi="Verdana" w:cs="Verdana"/>
      <w:color w:val="0000FF"/>
      <w:u w:val="single"/>
    </w:rPr>
  </w:style>
  <w:style w:type="character" w:styleId="StrongEmphasis">
    <w:name w:val="Strong Emphasis"/>
    <w:basedOn w:val="DefaultParagraphFont"/>
    <w:rPr>
      <w:b/>
      <w:bCs/>
    </w:rPr>
  </w:style>
  <w:style w:type="paragraph" w:styleId="Heading">
    <w:name w:val="Heading"/>
    <w:basedOn w:val="Normal"/>
    <w:next w:val="Normal"/>
    <w:pPr>
      <w:ind w:left="720" w:right="0" w:hanging="0"/>
    </w:pPr>
    <w:rPr>
      <w:b/>
      <w:bCs/>
      <w:sz w:val="24"/>
      <w:szCs w:val="24"/>
    </w:rPr>
  </w:style>
  <w:style w:type="paragraph" w:styleId="TextBody">
    <w:name w:val="Text Body"/>
    <w:basedOn w:val="Normal"/>
    <w:pPr/>
    <w:rPr>
      <w:sz w:val="18"/>
    </w:rPr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TextBodyIndent">
    <w:name w:val="Text Body Indent"/>
    <w:basedOn w:val="Normal"/>
    <w:pPr>
      <w:widowControl w:val="false"/>
      <w:overflowPunct w:val="false"/>
      <w:autoSpaceDE w:val="false"/>
      <w:ind w:left="567" w:right="0" w:hanging="0"/>
      <w:textAlignment w:val="baseline"/>
    </w:pPr>
    <w:rPr/>
  </w:style>
  <w:style w:type="paragraph" w:styleId="CommentText">
    <w:name w:val="Comment Text"/>
    <w:basedOn w:val="Normal"/>
    <w:pPr>
      <w:widowControl w:val="false"/>
      <w:overflowPunct w:val="false"/>
      <w:autoSpaceDE w:val="false"/>
      <w:textAlignment w:val="baseline"/>
    </w:pPr>
    <w:rPr>
      <w:sz w:val="16"/>
    </w:rPr>
  </w:style>
  <w:style w:type="paragraph" w:styleId="DHSAddress">
    <w:name w:val="DHS Address"/>
    <w:pPr>
      <w:widowControl/>
      <w:suppressAutoHyphens w:val="true"/>
    </w:pPr>
    <w:rPr>
      <w:rFonts w:ascii="Times New Roman" w:hAnsi="Times New Roman" w:eastAsia="Times New Roman" w:cs="Times New Roman"/>
      <w:color w:val="000080"/>
      <w:sz w:val="18"/>
      <w:szCs w:val="20"/>
      <w:lang w:val="en-AU" w:bidi="ar-SA" w:eastAsia="zh-CN"/>
    </w:rPr>
  </w:style>
  <w:style w:type="paragraph" w:styleId="DHSBodyText">
    <w:name w:val="DHS Body Text"/>
    <w:basedOn w:val="Normal"/>
    <w:pPr>
      <w:spacing w:lineRule="exact" w:line="240"/>
    </w:pPr>
    <w:rPr>
      <w:sz w:val="18"/>
    </w:rPr>
  </w:style>
  <w:style w:type="paragraph" w:styleId="DHSBulletText">
    <w:name w:val="DHS Bullet Text"/>
    <w:basedOn w:val="Normal"/>
    <w:next w:val="Normal"/>
    <w:pPr>
      <w:widowControl w:val="false"/>
      <w:numPr>
        <w:ilvl w:val="0"/>
        <w:numId w:val="2"/>
      </w:numPr>
      <w:overflowPunct w:val="false"/>
      <w:autoSpaceDE w:val="false"/>
      <w:spacing w:before="0" w:after="120"/>
      <w:textAlignment w:val="baseline"/>
    </w:pPr>
    <w:rPr>
      <w:sz w:val="18"/>
    </w:rPr>
  </w:style>
  <w:style w:type="paragraph" w:styleId="DHSDate">
    <w:name w:val="DHS Date"/>
    <w:basedOn w:val="Normal"/>
    <w:next w:val="Normal"/>
    <w:pPr>
      <w:widowControl w:val="false"/>
      <w:overflowPunct w:val="false"/>
      <w:autoSpaceDE w:val="false"/>
      <w:spacing w:before="0" w:after="120"/>
      <w:textAlignment w:val="baseline"/>
    </w:pPr>
    <w:rPr>
      <w:sz w:val="28"/>
      <w:szCs w:val="18"/>
    </w:rPr>
  </w:style>
  <w:style w:type="paragraph" w:styleId="DHSFileRef">
    <w:name w:val="DHS FileRef"/>
    <w:next w:val="Normal"/>
    <w:pPr>
      <w:widowControl/>
      <w:suppressAutoHyphens w:val="true"/>
    </w:pPr>
    <w:rPr>
      <w:rFonts w:ascii="Times New Roman" w:hAnsi="Times New Roman" w:eastAsia="Times New Roman" w:cs="Times New Roman"/>
      <w:caps/>
      <w:color w:val="000080"/>
      <w:sz w:val="16"/>
      <w:szCs w:val="20"/>
      <w:lang w:val="en-AU" w:bidi="ar-SA" w:eastAsia="zh-CN"/>
    </w:rPr>
  </w:style>
  <w:style w:type="paragraph" w:styleId="DHSHDAddress">
    <w:name w:val="DHS HD Address"/>
    <w:pPr>
      <w:widowControl/>
      <w:suppressAutoHyphens w:val="true"/>
    </w:pPr>
    <w:rPr>
      <w:rFonts w:ascii="Times New Roman" w:hAnsi="Times New Roman" w:eastAsia="Times New Roman" w:cs="Times New Roman"/>
      <w:color w:val="000080"/>
      <w:sz w:val="18"/>
      <w:szCs w:val="20"/>
      <w:lang w:val="en-AU" w:bidi="ar-SA" w:eastAsia="zh-CN"/>
    </w:rPr>
  </w:style>
  <w:style w:type="paragraph" w:styleId="DHSHDHeading">
    <w:name w:val="DHS HD Heading"/>
    <w:pPr>
      <w:widowControl/>
      <w:suppressAutoHyphens w:val="true"/>
    </w:pPr>
    <w:rPr>
      <w:rFonts w:ascii="Times New Roman" w:hAnsi="Times New Roman" w:eastAsia="Times New Roman" w:cs="Times New Roman"/>
      <w:b/>
      <w:color w:val="000080"/>
      <w:sz w:val="38"/>
      <w:szCs w:val="20"/>
      <w:lang w:val="en-AU" w:bidi="ar-SA" w:eastAsia="zh-CN"/>
    </w:rPr>
  </w:style>
  <w:style w:type="paragraph" w:styleId="DHSHDHeading2">
    <w:name w:val="DHS HD Heading 2"/>
    <w:pPr>
      <w:widowControl/>
      <w:suppressAutoHyphens w:val="true"/>
    </w:pPr>
    <w:rPr>
      <w:rFonts w:ascii="Times New Roman" w:hAnsi="Times New Roman" w:eastAsia="Times New Roman" w:cs="Times New Roman"/>
      <w:color w:val="000080"/>
      <w:sz w:val="24"/>
      <w:szCs w:val="20"/>
      <w:lang w:val="en-AU" w:bidi="ar-SA" w:eastAsia="zh-CN"/>
    </w:rPr>
  </w:style>
  <w:style w:type="paragraph" w:styleId="DHSHeading">
    <w:name w:val="DHS Heading"/>
    <w:pPr>
      <w:widowControl/>
      <w:suppressAutoHyphens w:val="true"/>
    </w:pPr>
    <w:rPr>
      <w:rFonts w:ascii="Times New Roman" w:hAnsi="Times New Roman" w:eastAsia="Times New Roman" w:cs="Times New Roman"/>
      <w:b/>
      <w:color w:val="000080"/>
      <w:sz w:val="38"/>
      <w:szCs w:val="20"/>
      <w:lang w:val="en-AU" w:bidi="ar-SA" w:eastAsia="zh-CN"/>
    </w:rPr>
  </w:style>
  <w:style w:type="paragraph" w:styleId="DHSHeading1">
    <w:name w:val="DHS Heading 1"/>
    <w:basedOn w:val="Normal"/>
    <w:next w:val="Normal"/>
    <w:pPr>
      <w:widowControl w:val="false"/>
      <w:overflowPunct w:val="false"/>
      <w:autoSpaceDE w:val="false"/>
      <w:spacing w:lineRule="exact" w:line="280" w:before="0" w:after="120"/>
      <w:textAlignment w:val="baseline"/>
    </w:pPr>
    <w:rPr>
      <w:b/>
    </w:rPr>
  </w:style>
  <w:style w:type="paragraph" w:styleId="DHSHeading2">
    <w:name w:val="DHS Heading 2"/>
    <w:basedOn w:val="DHSHeading1"/>
    <w:next w:val="Normal"/>
    <w:pPr>
      <w:spacing w:lineRule="exact" w:line="240"/>
    </w:pPr>
    <w:rPr>
      <w:sz w:val="18"/>
    </w:rPr>
  </w:style>
  <w:style w:type="paragraph" w:styleId="DHSHeading3">
    <w:name w:val="DHS Heading 3"/>
    <w:basedOn w:val="Normal"/>
    <w:next w:val="Normal"/>
    <w:pPr>
      <w:widowControl w:val="false"/>
      <w:overflowPunct w:val="false"/>
      <w:autoSpaceDE w:val="false"/>
      <w:textAlignment w:val="baseline"/>
    </w:pPr>
    <w:rPr>
      <w:sz w:val="48"/>
    </w:rPr>
  </w:style>
  <w:style w:type="paragraph" w:styleId="DHSNewsletterTitle">
    <w:name w:val="DHS Newsletter Title"/>
    <w:basedOn w:val="Normal"/>
    <w:next w:val="Normal"/>
    <w:pPr>
      <w:widowControl w:val="false"/>
      <w:overflowPunct w:val="false"/>
      <w:autoSpaceDE w:val="false"/>
      <w:textAlignment w:val="baseline"/>
    </w:pPr>
    <w:rPr>
      <w:sz w:val="56"/>
    </w:rPr>
  </w:style>
  <w:style w:type="paragraph" w:styleId="DHSNotes">
    <w:name w:val="DHS Notes"/>
    <w:basedOn w:val="Normal"/>
    <w:next w:val="Normal"/>
    <w:pPr>
      <w:spacing w:lineRule="exact" w:line="240"/>
    </w:pPr>
    <w:rPr>
      <w:i/>
      <w:sz w:val="18"/>
    </w:rPr>
  </w:style>
  <w:style w:type="paragraph" w:styleId="DHSNumberingOutline">
    <w:name w:val="DHS Numbering Outline"/>
    <w:basedOn w:val="Normal"/>
    <w:next w:val="Normal"/>
    <w:pPr>
      <w:widowControl w:val="false"/>
      <w:numPr>
        <w:ilvl w:val="0"/>
        <w:numId w:val="3"/>
      </w:numPr>
      <w:overflowPunct w:val="false"/>
      <w:autoSpaceDE w:val="false"/>
      <w:textAlignment w:val="baseline"/>
    </w:pPr>
    <w:rPr/>
  </w:style>
  <w:style w:type="paragraph" w:styleId="DHSReportHd1">
    <w:name w:val="DHS Report Hd 1"/>
    <w:basedOn w:val="Normal"/>
    <w:next w:val="Normal"/>
    <w:pPr>
      <w:spacing w:lineRule="exact" w:line="360"/>
    </w:pPr>
    <w:rPr>
      <w:sz w:val="28"/>
    </w:rPr>
  </w:style>
  <w:style w:type="paragraph" w:styleId="DHSReportHd2">
    <w:name w:val="DHS Report Hd 2"/>
    <w:basedOn w:val="Normal"/>
    <w:next w:val="Normal"/>
    <w:pPr/>
    <w:rPr>
      <w:b/>
      <w:sz w:val="24"/>
    </w:rPr>
  </w:style>
  <w:style w:type="paragraph" w:styleId="DHSReportHd3">
    <w:name w:val="DHS Report Hd 3"/>
    <w:basedOn w:val="Normal"/>
    <w:next w:val="Normal"/>
    <w:pPr/>
    <w:rPr>
      <w:b/>
      <w:sz w:val="22"/>
    </w:rPr>
  </w:style>
  <w:style w:type="paragraph" w:styleId="DHSReportHd4">
    <w:name w:val="DHS Report Hd 4"/>
    <w:basedOn w:val="Normal"/>
    <w:next w:val="Normal"/>
    <w:pPr/>
    <w:rPr>
      <w:b/>
      <w:sz w:val="18"/>
    </w:rPr>
  </w:style>
  <w:style w:type="paragraph" w:styleId="DHSReportSubTitle">
    <w:name w:val="DHS Report Sub Title"/>
    <w:basedOn w:val="Normal"/>
    <w:next w:val="Normal"/>
    <w:pPr>
      <w:spacing w:before="0" w:after="120"/>
    </w:pPr>
    <w:rPr>
      <w:sz w:val="28"/>
    </w:rPr>
  </w:style>
  <w:style w:type="paragraph" w:styleId="DHSReportTitle">
    <w:name w:val="DHS Report Title"/>
    <w:basedOn w:val="Normal"/>
    <w:next w:val="DHSReportSubTitle"/>
    <w:pPr>
      <w:spacing w:lineRule="exact" w:line="240" w:before="120" w:after="120"/>
    </w:pPr>
    <w:rPr>
      <w:sz w:val="40"/>
      <w:szCs w:val="24"/>
    </w:rPr>
  </w:style>
  <w:style w:type="paragraph" w:styleId="DHSSubHeading">
    <w:name w:val="DHS Sub Heading"/>
    <w:basedOn w:val="Normal"/>
    <w:next w:val="Normal"/>
    <w:pPr>
      <w:widowControl w:val="false"/>
      <w:overflowPunct w:val="false"/>
      <w:autoSpaceDE w:val="false"/>
      <w:spacing w:before="0" w:after="120"/>
      <w:textAlignment w:val="baseline"/>
    </w:pPr>
    <w:rPr>
      <w:b/>
      <w:sz w:val="28"/>
    </w:rPr>
  </w:style>
  <w:style w:type="paragraph" w:styleId="DHSSubHeading2">
    <w:name w:val="DHS Sub Heading 2"/>
    <w:basedOn w:val="Normal"/>
    <w:next w:val="Normal"/>
    <w:pPr>
      <w:widowControl w:val="false"/>
      <w:overflowPunct w:val="false"/>
      <w:autoSpaceDE w:val="false"/>
      <w:textAlignment w:val="baseline"/>
    </w:pPr>
    <w:rPr>
      <w:b/>
    </w:rPr>
  </w:style>
  <w:style w:type="paragraph" w:styleId="DHSSubTitle">
    <w:name w:val="DHS Sub Title"/>
    <w:basedOn w:val="DHSDate"/>
    <w:next w:val="Normal"/>
    <w:pPr/>
    <w:rPr/>
  </w:style>
  <w:style w:type="paragraph" w:styleId="DHSTableHeader">
    <w:name w:val="DHS Table Header"/>
    <w:basedOn w:val="Normal"/>
    <w:pPr>
      <w:pBdr>
        <w:top w:val="nil"/>
        <w:left w:val="nil"/>
        <w:bottom w:val="single" w:sz="8" w:space="1" w:color="FFFFFF"/>
        <w:right w:val="nil"/>
      </w:pBdr>
      <w:spacing w:before="120" w:after="120"/>
    </w:pPr>
    <w:rPr>
      <w:sz w:val="18"/>
    </w:rPr>
  </w:style>
  <w:style w:type="paragraph" w:styleId="DHSTableSubHeader">
    <w:name w:val="DHS Table Sub Header"/>
    <w:basedOn w:val="Normal"/>
    <w:pPr/>
    <w:rPr>
      <w:sz w:val="18"/>
    </w:rPr>
  </w:style>
  <w:style w:type="paragraph" w:styleId="DHSTableText">
    <w:name w:val="DHS Table Text"/>
    <w:basedOn w:val="Normal"/>
    <w:pPr>
      <w:widowControl w:val="false"/>
      <w:shd w:fill="E0E0E0" w:val="clear"/>
      <w:overflowPunct w:val="false"/>
      <w:autoSpaceDE w:val="false"/>
      <w:textAlignment w:val="baseline"/>
    </w:pPr>
    <w:rPr>
      <w:sz w:val="18"/>
    </w:rPr>
  </w:style>
  <w:style w:type="paragraph" w:styleId="DHSText10pt">
    <w:name w:val="DHS Text 10pt"/>
    <w:basedOn w:val="Normal"/>
    <w:pPr>
      <w:widowControl w:val="false"/>
      <w:overflowPunct w:val="false"/>
      <w:autoSpaceDE w:val="false"/>
      <w:textAlignment w:val="baseline"/>
    </w:pPr>
    <w:rPr/>
  </w:style>
  <w:style w:type="paragraph" w:styleId="DHSText12pt">
    <w:name w:val="DHS Text 12pt"/>
    <w:basedOn w:val="Normal"/>
    <w:pPr>
      <w:widowControl w:val="false"/>
      <w:overflowPunct w:val="false"/>
      <w:autoSpaceDE w:val="false"/>
      <w:textAlignment w:val="baseline"/>
    </w:pPr>
    <w:rPr>
      <w:sz w:val="24"/>
    </w:rPr>
  </w:style>
  <w:style w:type="paragraph" w:styleId="DHSText14pt">
    <w:name w:val="DHS Text 14pt"/>
    <w:basedOn w:val="Normal"/>
    <w:pPr>
      <w:widowControl w:val="false"/>
      <w:overflowPunct w:val="false"/>
      <w:autoSpaceDE w:val="false"/>
      <w:textAlignment w:val="baseline"/>
    </w:pPr>
    <w:rPr>
      <w:sz w:val="28"/>
    </w:rPr>
  </w:style>
  <w:style w:type="paragraph" w:styleId="DHSText16pt">
    <w:name w:val="DHS Text 16pt"/>
    <w:basedOn w:val="Normal"/>
    <w:pPr>
      <w:widowControl w:val="false"/>
      <w:overflowPunct w:val="false"/>
      <w:autoSpaceDE w:val="false"/>
      <w:textAlignment w:val="baseline"/>
    </w:pPr>
    <w:rPr>
      <w:sz w:val="32"/>
    </w:rPr>
  </w:style>
  <w:style w:type="paragraph" w:styleId="DHSText18pt">
    <w:name w:val="DHS Text 18pt"/>
    <w:basedOn w:val="Normal"/>
    <w:pPr>
      <w:widowControl w:val="false"/>
      <w:overflowPunct w:val="false"/>
      <w:autoSpaceDE w:val="false"/>
      <w:textAlignment w:val="baseline"/>
    </w:pPr>
    <w:rPr>
      <w:sz w:val="36"/>
    </w:rPr>
  </w:style>
  <w:style w:type="paragraph" w:styleId="DHSText24pt">
    <w:name w:val="DHS Text 24pt"/>
    <w:basedOn w:val="Normal"/>
    <w:pPr>
      <w:widowControl w:val="false"/>
      <w:overflowPunct w:val="false"/>
      <w:autoSpaceDE w:val="false"/>
      <w:textAlignment w:val="baseline"/>
    </w:pPr>
    <w:rPr>
      <w:sz w:val="48"/>
    </w:rPr>
  </w:style>
  <w:style w:type="paragraph" w:styleId="DHSText8pt">
    <w:name w:val="DHS Text 8pt"/>
    <w:basedOn w:val="Normal"/>
    <w:pPr>
      <w:widowControl w:val="false"/>
      <w:overflowPunct w:val="false"/>
      <w:autoSpaceDE w:val="false"/>
      <w:textAlignment w:val="baseline"/>
    </w:pPr>
    <w:rPr>
      <w:sz w:val="16"/>
    </w:rPr>
  </w:style>
  <w:style w:type="paragraph" w:styleId="DHSTextBold10pt">
    <w:name w:val="DHS Text Bold 10pt"/>
    <w:basedOn w:val="Normal"/>
    <w:pPr>
      <w:widowControl w:val="false"/>
      <w:overflowPunct w:val="false"/>
      <w:autoSpaceDE w:val="false"/>
      <w:textAlignment w:val="baseline"/>
    </w:pPr>
    <w:rPr>
      <w:b/>
    </w:rPr>
  </w:style>
  <w:style w:type="paragraph" w:styleId="DHSTextBold12pt">
    <w:name w:val="DHS Text Bold 12pt"/>
    <w:basedOn w:val="Normal"/>
    <w:pPr>
      <w:widowControl w:val="false"/>
      <w:overflowPunct w:val="false"/>
      <w:autoSpaceDE w:val="false"/>
      <w:textAlignment w:val="baseline"/>
    </w:pPr>
    <w:rPr>
      <w:b/>
      <w:sz w:val="24"/>
    </w:rPr>
  </w:style>
  <w:style w:type="paragraph" w:styleId="DHSTextBold14pt">
    <w:name w:val="DHS Text Bold 14pt"/>
    <w:basedOn w:val="Normal"/>
    <w:pPr>
      <w:widowControl w:val="false"/>
      <w:overflowPunct w:val="false"/>
      <w:autoSpaceDE w:val="false"/>
      <w:textAlignment w:val="baseline"/>
    </w:pPr>
    <w:rPr>
      <w:b/>
      <w:sz w:val="28"/>
    </w:rPr>
  </w:style>
  <w:style w:type="paragraph" w:styleId="DHSTextBold8pt">
    <w:name w:val="DHS Text Bold 8pt"/>
    <w:basedOn w:val="Normal"/>
    <w:pPr>
      <w:widowControl w:val="false"/>
      <w:overflowPunct w:val="false"/>
      <w:autoSpaceDE w:val="false"/>
      <w:textAlignment w:val="baseline"/>
    </w:pPr>
    <w:rPr>
      <w:b/>
      <w:sz w:val="16"/>
    </w:rPr>
  </w:style>
  <w:style w:type="paragraph" w:styleId="DHSTitle">
    <w:name w:val="DHS Title"/>
    <w:basedOn w:val="Normal"/>
    <w:pPr>
      <w:spacing w:before="120" w:after="120"/>
    </w:pPr>
    <w:rPr>
      <w:sz w:val="56"/>
    </w:rPr>
  </w:style>
  <w:style w:type="paragraph" w:styleId="DHSTOCHeading">
    <w:name w:val="DHS TOC Heading"/>
    <w:basedOn w:val="Normal"/>
    <w:pPr>
      <w:spacing w:before="0" w:after="160"/>
    </w:pPr>
    <w:rPr>
      <w:sz w:val="28"/>
    </w:rPr>
  </w:style>
  <w:style w:type="paragraph" w:styleId="Footer">
    <w:name w:val="Footer"/>
    <w:basedOn w:val="Normal"/>
    <w:pPr>
      <w:widowControl w:val="false"/>
      <w:tabs>
        <w:tab w:val="center" w:pos="4153" w:leader="none"/>
        <w:tab w:val="right" w:pos="8306" w:leader="none"/>
      </w:tabs>
      <w:overflowPunct w:val="false"/>
      <w:autoSpaceDE w:val="false"/>
      <w:textAlignment w:val="baseline"/>
    </w:pPr>
    <w:rPr/>
  </w:style>
  <w:style w:type="paragraph" w:styleId="Header">
    <w:name w:val="Header"/>
    <w:basedOn w:val="Normal"/>
    <w:pPr>
      <w:widowControl w:val="false"/>
      <w:tabs>
        <w:tab w:val="center" w:pos="4153" w:leader="none"/>
        <w:tab w:val="right" w:pos="8306" w:leader="none"/>
      </w:tabs>
      <w:overflowPunct w:val="false"/>
      <w:autoSpaceDE w:val="false"/>
      <w:textAlignment w:val="baseline"/>
    </w:pPr>
    <w:rPr/>
  </w:style>
  <w:style w:type="paragraph" w:styleId="Contents1">
    <w:name w:val="Contents 1"/>
    <w:basedOn w:val="Normal"/>
    <w:next w:val="Normal"/>
    <w:pPr>
      <w:widowControl w:val="false"/>
      <w:tabs>
        <w:tab w:val="right" w:pos="9498" w:leader="dot"/>
      </w:tabs>
      <w:overflowPunct w:val="false"/>
      <w:autoSpaceDE w:val="false"/>
      <w:ind w:left="567" w:right="0" w:hanging="0"/>
      <w:textAlignment w:val="baseline"/>
    </w:pPr>
    <w:rPr>
      <w:sz w:val="24"/>
      <w:szCs w:val="24"/>
      <w:lang w:val="en-IN" w:eastAsia="en-IN"/>
    </w:rPr>
  </w:style>
  <w:style w:type="paragraph" w:styleId="Contents2">
    <w:name w:val="Contents 2"/>
    <w:basedOn w:val="Normal"/>
    <w:next w:val="Normal"/>
    <w:pPr>
      <w:widowControl w:val="false"/>
      <w:tabs>
        <w:tab w:val="right" w:pos="9622" w:leader="dot"/>
      </w:tabs>
      <w:overflowPunct w:val="false"/>
      <w:autoSpaceDE w:val="false"/>
      <w:ind w:left="567" w:right="0" w:hanging="0"/>
      <w:textAlignment w:val="baseline"/>
    </w:pPr>
    <w:rPr>
      <w:lang w:val="en-IN" w:eastAsia="en-IN"/>
    </w:rPr>
  </w:style>
  <w:style w:type="paragraph" w:styleId="Contents3">
    <w:name w:val="Contents 3"/>
    <w:basedOn w:val="Normal"/>
    <w:next w:val="Normal"/>
    <w:pPr>
      <w:widowControl w:val="false"/>
      <w:overflowPunct w:val="false"/>
      <w:autoSpaceDE w:val="false"/>
      <w:ind w:left="440" w:right="0" w:hanging="0"/>
      <w:textAlignment w:val="baseline"/>
    </w:pPr>
    <w:rPr/>
  </w:style>
  <w:style w:type="paragraph" w:styleId="Contents4">
    <w:name w:val="Contents 4"/>
    <w:basedOn w:val="Normal"/>
    <w:next w:val="Normal"/>
    <w:pPr>
      <w:widowControl w:val="false"/>
      <w:overflowPunct w:val="false"/>
      <w:autoSpaceDE w:val="false"/>
      <w:ind w:left="660" w:right="0" w:hanging="0"/>
      <w:textAlignment w:val="baseline"/>
    </w:pPr>
    <w:rPr/>
  </w:style>
  <w:style w:type="paragraph" w:styleId="Contents5">
    <w:name w:val="Contents 5"/>
    <w:basedOn w:val="Normal"/>
    <w:next w:val="Normal"/>
    <w:pPr>
      <w:widowControl w:val="false"/>
      <w:overflowPunct w:val="false"/>
      <w:autoSpaceDE w:val="false"/>
      <w:ind w:left="880" w:right="0" w:hanging="0"/>
      <w:textAlignment w:val="baseline"/>
    </w:pPr>
    <w:rPr/>
  </w:style>
  <w:style w:type="paragraph" w:styleId="Contents6">
    <w:name w:val="Contents 6"/>
    <w:basedOn w:val="Normal"/>
    <w:next w:val="Normal"/>
    <w:pPr>
      <w:widowControl w:val="false"/>
      <w:overflowPunct w:val="false"/>
      <w:autoSpaceDE w:val="false"/>
      <w:ind w:left="1100" w:right="0" w:hanging="0"/>
      <w:textAlignment w:val="baseline"/>
    </w:pPr>
    <w:rPr/>
  </w:style>
  <w:style w:type="paragraph" w:styleId="Contents7">
    <w:name w:val="Contents 7"/>
    <w:basedOn w:val="Normal"/>
    <w:next w:val="Normal"/>
    <w:pPr>
      <w:widowControl w:val="false"/>
      <w:overflowPunct w:val="false"/>
      <w:autoSpaceDE w:val="false"/>
      <w:ind w:left="1320" w:right="0" w:hanging="0"/>
      <w:textAlignment w:val="baseline"/>
    </w:pPr>
    <w:rPr/>
  </w:style>
  <w:style w:type="paragraph" w:styleId="Contents8">
    <w:name w:val="Contents 8"/>
    <w:basedOn w:val="Normal"/>
    <w:next w:val="Normal"/>
    <w:pPr>
      <w:widowControl w:val="false"/>
      <w:overflowPunct w:val="false"/>
      <w:autoSpaceDE w:val="false"/>
      <w:ind w:left="1540" w:right="0" w:hanging="0"/>
      <w:textAlignment w:val="baseline"/>
    </w:pPr>
    <w:rPr/>
  </w:style>
  <w:style w:type="paragraph" w:styleId="Contents9">
    <w:name w:val="Contents 9"/>
    <w:basedOn w:val="Normal"/>
    <w:next w:val="Normal"/>
    <w:pPr>
      <w:widowControl w:val="false"/>
      <w:overflowPunct w:val="false"/>
      <w:autoSpaceDE w:val="false"/>
      <w:ind w:left="1760" w:right="0" w:hanging="0"/>
      <w:textAlignment w:val="baseline"/>
    </w:pPr>
    <w:rPr/>
  </w:style>
  <w:style w:type="paragraph" w:styleId="NormalWeb">
    <w:name w:val="Normal (Web)"/>
    <w:basedOn w:val="Normal"/>
    <w:pPr>
      <w:spacing w:before="280" w:after="280"/>
    </w:pPr>
    <w:rPr>
      <w:rFonts w:eastAsia="Arial Unicode MS" w:cs="Arial Unicode MS"/>
    </w:rPr>
  </w:style>
  <w:style w:type="paragraph" w:styleId="TableContents">
    <w:name w:val="Table Contents"/>
    <w:basedOn w:val="Normal"/>
    <w:pPr>
      <w:suppressLineNumbers/>
    </w:pPr>
    <w:rPr/>
  </w:style>
  <w:style w:type="paragraph" w:styleId="TableHeading">
    <w:name w:val="Table Heading"/>
    <w:basedOn w:val="TableContents"/>
    <w:pPr>
      <w:suppressLineNumbers/>
      <w:jc w:val="center"/>
    </w:pPr>
    <w:rPr>
      <w:b/>
      <w:bCs/>
    </w:rPr>
  </w:style>
  <w:style w:type="numbering" w:styleId="WW8Num1">
    <w:name w:val="WW8Num1"/>
  </w:style>
  <w:style w:type="numbering" w:styleId="WW8Num2">
    <w:name w:val="WW8Num2"/>
  </w:style>
  <w:style w:type="numbering" w:styleId="WW8Num3">
    <w:name w:val="WW8Num3"/>
  </w:style>
  <w:style w:type="numbering" w:styleId="WW8Num4">
    <w:name w:val="WW8Num4"/>
  </w:style>
  <w:style w:type="numbering" w:styleId="WW8Num5">
    <w:name w:val="WW8Num5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420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2006-01-31T07:19:00Z</dcterms:created>
  <dc:creator>Department of Human Services</dc:creator>
  <dc:language>en-IN</dc:language>
  <cp:lastModifiedBy>jpet1207</cp:lastModifiedBy>
  <dcterms:modified xsi:type="dcterms:W3CDTF">2010-06-01T12:02:00Z</dcterms:modified>
  <cp:revision>22</cp:revision>
  <dc:subject>Fleet - Acquiring Vehicles - Getting the best deal</dc:subject>
  <dc:title>Used vehicle inspection checklist</dc:title>
</cp:coreProperties>
</file>